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1C" w:rsidRPr="00000E1C" w:rsidRDefault="00000E1C" w:rsidP="00000E1C">
      <w:pPr>
        <w:tabs>
          <w:tab w:val="left" w:pos="2604"/>
          <w:tab w:val="left" w:pos="2712"/>
          <w:tab w:val="center" w:pos="4577"/>
        </w:tabs>
        <w:spacing w:after="0" w:line="240" w:lineRule="auto"/>
        <w:ind w:firstLine="708"/>
        <w:rPr>
          <w:rFonts w:ascii="Arial Narrow" w:hAnsi="Arial Narrow"/>
          <w:b/>
          <w:sz w:val="24"/>
          <w:szCs w:val="24"/>
          <w:lang w:val="sr-Latn-CS" w:eastAsia="sr-Latn-CS"/>
        </w:rPr>
      </w:pPr>
      <w:r w:rsidRPr="00000E1C">
        <w:rPr>
          <w:rFonts w:ascii="Arial Narrow" w:hAnsi="Arial Narrow"/>
          <w:b/>
          <w:sz w:val="24"/>
          <w:szCs w:val="24"/>
          <w:lang w:val="sr-Latn-CS" w:eastAsia="sr-Latn-CS"/>
        </w:rPr>
        <w:tab/>
        <w:t xml:space="preserve">        </w:t>
      </w:r>
      <w:r w:rsidRPr="00000E1C">
        <w:rPr>
          <w:rFonts w:ascii="Arial Narrow" w:hAnsi="Arial Narrow"/>
          <w:b/>
          <w:sz w:val="24"/>
          <w:szCs w:val="24"/>
          <w:lang w:val="sr-Latn-CS" w:eastAsia="sr-Latn-CS"/>
        </w:rPr>
        <w:tab/>
        <w:t>PRIVREDNA KOMORA VOJVODINE</w:t>
      </w: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  <w:r w:rsidRPr="00000E1C">
        <w:rPr>
          <w:rFonts w:ascii="Arial Narrow" w:hAnsi="Arial Narrow"/>
          <w:sz w:val="24"/>
          <w:szCs w:val="24"/>
          <w:lang w:val="sr-Latn-CS" w:eastAsia="sr-Latn-CS"/>
        </w:rPr>
        <w:t>____________________________________________________________________________</w:t>
      </w:r>
    </w:p>
    <w:p w:rsidR="00000E1C" w:rsidRPr="00000E1C" w:rsidRDefault="00000E1C" w:rsidP="00000E1C">
      <w:pPr>
        <w:spacing w:after="0" w:line="240" w:lineRule="auto"/>
        <w:ind w:firstLine="708"/>
        <w:jc w:val="center"/>
        <w:rPr>
          <w:rFonts w:ascii="Arial Narrow" w:hAnsi="Arial Narrow"/>
          <w:sz w:val="24"/>
          <w:szCs w:val="24"/>
          <w:lang w:val="sr-Latn-CS" w:eastAsia="sr-Latn-CS"/>
        </w:rPr>
      </w:pPr>
      <w:r w:rsidRPr="00000E1C">
        <w:rPr>
          <w:rFonts w:ascii="Arial Narrow" w:hAnsi="Arial Narrow"/>
          <w:sz w:val="24"/>
          <w:szCs w:val="24"/>
          <w:lang w:val="sr-Latn-CS" w:eastAsia="sr-Latn-CS"/>
        </w:rPr>
        <w:t>Udruženje poljoprivrede, prehrambene industrije i vodoprivrede</w:t>
      </w:r>
    </w:p>
    <w:p w:rsidR="00000E1C" w:rsidRPr="00000E1C" w:rsidRDefault="00000E1C" w:rsidP="00000E1C">
      <w:pPr>
        <w:spacing w:after="0" w:line="240" w:lineRule="auto"/>
        <w:ind w:firstLine="708"/>
        <w:jc w:val="center"/>
        <w:rPr>
          <w:rFonts w:ascii="Arial Narrow" w:hAnsi="Arial Narrow"/>
          <w:sz w:val="24"/>
          <w:szCs w:val="24"/>
          <w:lang w:val="sr-Latn-CS" w:eastAsia="sr-Latn-CS"/>
        </w:rPr>
      </w:pPr>
    </w:p>
    <w:p w:rsidR="00D875C4" w:rsidRDefault="00D875C4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D875C4" w:rsidRDefault="00D875C4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Pr="00000E1C" w:rsidRDefault="00000E1C" w:rsidP="00000E1C">
      <w:pPr>
        <w:spacing w:after="0" w:line="240" w:lineRule="auto"/>
        <w:rPr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tabs>
          <w:tab w:val="left" w:pos="666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sr-Latn-CS" w:eastAsia="sr-Latn-CS"/>
        </w:rPr>
      </w:pPr>
      <w:r w:rsidRPr="00000E1C">
        <w:rPr>
          <w:rFonts w:ascii="Arial Narrow" w:hAnsi="Arial Narrow"/>
          <w:sz w:val="24"/>
          <w:szCs w:val="24"/>
          <w:lang w:val="sr-Latn-CS" w:eastAsia="sr-Latn-CS"/>
        </w:rPr>
        <w:t xml:space="preserve">                                                                                                                                      QG-731-01</w:t>
      </w: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  <w:lang w:val="sr-Latn-CS" w:eastAsia="sr-Latn-CS"/>
        </w:rPr>
      </w:pPr>
    </w:p>
    <w:p w:rsidR="00000E1C" w:rsidRDefault="00000E1C" w:rsidP="00000E1C">
      <w:pPr>
        <w:spacing w:after="0" w:line="240" w:lineRule="auto"/>
        <w:ind w:firstLine="708"/>
        <w:jc w:val="center"/>
        <w:rPr>
          <w:rFonts w:ascii="Arial Narrow" w:hAnsi="Arial Narrow"/>
          <w:b/>
          <w:sz w:val="28"/>
          <w:szCs w:val="28"/>
          <w:lang w:val="sr-Latn-CS" w:eastAsia="sr-Latn-CS"/>
        </w:rPr>
      </w:pPr>
      <w:r w:rsidRPr="00000E1C">
        <w:rPr>
          <w:rFonts w:ascii="Arial Narrow" w:hAnsi="Arial Narrow"/>
          <w:b/>
          <w:sz w:val="28"/>
          <w:szCs w:val="28"/>
          <w:lang w:val="sr-Latn-CS" w:eastAsia="sr-Latn-CS"/>
        </w:rPr>
        <w:t>INFORMACIJA</w:t>
      </w:r>
    </w:p>
    <w:p w:rsidR="00000E1C" w:rsidRPr="00000E1C" w:rsidRDefault="00000E1C" w:rsidP="00000E1C">
      <w:pPr>
        <w:spacing w:after="0" w:line="240" w:lineRule="auto"/>
        <w:ind w:firstLine="708"/>
        <w:jc w:val="center"/>
        <w:rPr>
          <w:rFonts w:ascii="Arial Narrow" w:hAnsi="Arial Narrow"/>
          <w:b/>
          <w:sz w:val="28"/>
          <w:szCs w:val="28"/>
          <w:lang w:val="sr-Latn-CS" w:eastAsia="sr-Latn-CS"/>
        </w:rPr>
      </w:pPr>
      <w:r w:rsidRPr="00000E1C">
        <w:rPr>
          <w:rFonts w:ascii="Arial Narrow" w:hAnsi="Arial Narrow"/>
          <w:b/>
          <w:sz w:val="28"/>
          <w:szCs w:val="28"/>
          <w:lang w:val="sr-Latn-CS" w:eastAsia="sr-Latn-CS"/>
        </w:rPr>
        <w:t xml:space="preserve"> O SPOLJNOTRGOVINSKOJ RAZMENI</w:t>
      </w:r>
      <w:r>
        <w:rPr>
          <w:rFonts w:ascii="Arial Narrow" w:hAnsi="Arial Narrow"/>
          <w:b/>
          <w:sz w:val="28"/>
          <w:szCs w:val="28"/>
          <w:lang w:val="sr-Latn-CS" w:eastAsia="sr-Latn-CS"/>
        </w:rPr>
        <w:t xml:space="preserve"> POLJOPRIVREDNO-</w:t>
      </w:r>
      <w:r w:rsidRPr="00000E1C">
        <w:rPr>
          <w:rFonts w:ascii="Arial Narrow" w:hAnsi="Arial Narrow"/>
          <w:b/>
          <w:sz w:val="28"/>
          <w:szCs w:val="28"/>
          <w:lang w:val="sr-Latn-CS" w:eastAsia="sr-Latn-CS"/>
        </w:rPr>
        <w:t xml:space="preserve"> PREHRAMBENIH  PROIZVODA U AP VOJVODINI</w:t>
      </w:r>
      <w:r>
        <w:rPr>
          <w:rFonts w:ascii="Arial Narrow" w:hAnsi="Arial Narrow"/>
          <w:b/>
          <w:sz w:val="28"/>
          <w:szCs w:val="28"/>
          <w:lang w:val="sr-Latn-CS" w:eastAsia="sr-Latn-CS"/>
        </w:rPr>
        <w:t xml:space="preserve"> </w:t>
      </w:r>
      <w:r w:rsidRPr="00000E1C">
        <w:rPr>
          <w:rFonts w:ascii="Arial Narrow" w:hAnsi="Arial Narrow"/>
          <w:b/>
          <w:sz w:val="28"/>
          <w:szCs w:val="28"/>
          <w:lang w:val="sr-Latn-CS" w:eastAsia="sr-Latn-CS"/>
        </w:rPr>
        <w:t xml:space="preserve">ZA PERIOD </w:t>
      </w:r>
      <w:r>
        <w:rPr>
          <w:rFonts w:ascii="Arial Narrow" w:hAnsi="Arial Narrow"/>
          <w:b/>
          <w:sz w:val="28"/>
          <w:szCs w:val="28"/>
          <w:lang w:val="sr-Latn-CS" w:eastAsia="sr-Latn-CS"/>
        </w:rPr>
        <w:t>JANUAR-</w:t>
      </w:r>
      <w:r w:rsidR="00221EB2">
        <w:rPr>
          <w:rFonts w:ascii="Arial Narrow" w:hAnsi="Arial Narrow"/>
          <w:b/>
          <w:sz w:val="28"/>
          <w:szCs w:val="28"/>
          <w:lang w:val="sr-Latn-CS" w:eastAsia="sr-Latn-CS"/>
        </w:rPr>
        <w:t>OKTOBAR</w:t>
      </w:r>
      <w:r w:rsidRPr="00000E1C">
        <w:rPr>
          <w:rFonts w:ascii="Arial Narrow" w:hAnsi="Arial Narrow"/>
          <w:b/>
          <w:sz w:val="28"/>
          <w:szCs w:val="28"/>
          <w:lang w:val="sr-Latn-CS" w:eastAsia="sr-Latn-CS"/>
        </w:rPr>
        <w:t xml:space="preserve"> 201</w:t>
      </w:r>
      <w:r>
        <w:rPr>
          <w:rFonts w:ascii="Arial Narrow" w:hAnsi="Arial Narrow"/>
          <w:b/>
          <w:sz w:val="28"/>
          <w:szCs w:val="28"/>
          <w:lang w:val="sr-Latn-CS" w:eastAsia="sr-Latn-CS"/>
        </w:rPr>
        <w:t>4</w:t>
      </w:r>
      <w:r w:rsidRPr="00000E1C">
        <w:rPr>
          <w:rFonts w:ascii="Arial Narrow" w:hAnsi="Arial Narrow"/>
          <w:b/>
          <w:sz w:val="28"/>
          <w:szCs w:val="28"/>
          <w:lang w:val="sr-Latn-CS" w:eastAsia="sr-Latn-CS"/>
        </w:rPr>
        <w:t>.G</w:t>
      </w:r>
      <w:r>
        <w:rPr>
          <w:rFonts w:ascii="Arial Narrow" w:hAnsi="Arial Narrow"/>
          <w:b/>
          <w:sz w:val="28"/>
          <w:szCs w:val="28"/>
          <w:lang w:val="sr-Latn-CS" w:eastAsia="sr-Latn-CS"/>
        </w:rPr>
        <w:t>ODINE</w:t>
      </w: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b/>
          <w:sz w:val="28"/>
          <w:szCs w:val="28"/>
          <w:lang w:val="sr-Latn-CS" w:eastAsia="sr-Latn-CS"/>
        </w:rPr>
      </w:pPr>
    </w:p>
    <w:p w:rsidR="00000E1C" w:rsidRPr="00000E1C" w:rsidRDefault="00000E1C" w:rsidP="00000E1C">
      <w:pPr>
        <w:spacing w:after="0" w:line="240" w:lineRule="auto"/>
        <w:ind w:firstLine="708"/>
        <w:jc w:val="both"/>
        <w:rPr>
          <w:rFonts w:ascii="Arial Narrow" w:hAnsi="Arial Narrow"/>
          <w:b/>
          <w:i/>
          <w:sz w:val="24"/>
          <w:szCs w:val="24"/>
          <w:lang w:val="sr-Latn-CS" w:eastAsia="sr-Latn-CS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1C5ACA" w:rsidRDefault="001C5ACA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1C5ACA" w:rsidRDefault="001C5ACA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1C5ACA" w:rsidRDefault="001C5ACA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611A76">
      <w:pPr>
        <w:pStyle w:val="NoSpacing"/>
        <w:jc w:val="center"/>
        <w:rPr>
          <w:rFonts w:ascii="Arial Narrow" w:hAnsi="Arial Narrow"/>
          <w:b/>
          <w:sz w:val="26"/>
          <w:szCs w:val="26"/>
        </w:rPr>
      </w:pPr>
    </w:p>
    <w:p w:rsidR="00000E1C" w:rsidRDefault="00000E1C" w:rsidP="00000E1C">
      <w:pPr>
        <w:tabs>
          <w:tab w:val="center" w:pos="4535"/>
          <w:tab w:val="right" w:pos="9071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val="sr-Latn-CS" w:eastAsia="sr-Latn-CS"/>
        </w:rPr>
      </w:pPr>
      <w:r w:rsidRPr="00000E1C">
        <w:rPr>
          <w:rFonts w:ascii="Arial Narrow" w:hAnsi="Arial Narrow"/>
          <w:sz w:val="24"/>
          <w:szCs w:val="24"/>
          <w:lang w:val="sr-Latn-CS" w:eastAsia="sr-Latn-CS"/>
        </w:rPr>
        <w:t>Novi Sad, novembar 2014.godine</w:t>
      </w:r>
    </w:p>
    <w:p w:rsidR="00A610DB" w:rsidRDefault="00A610DB" w:rsidP="00FE4B62">
      <w:pPr>
        <w:ind w:firstLine="708"/>
        <w:jc w:val="both"/>
        <w:rPr>
          <w:rFonts w:ascii="Arial Narrow" w:hAnsi="Arial Narrow"/>
          <w:sz w:val="26"/>
          <w:szCs w:val="26"/>
        </w:rPr>
      </w:pPr>
    </w:p>
    <w:p w:rsidR="00A610DB" w:rsidRDefault="00A610DB" w:rsidP="00FE4B62">
      <w:pPr>
        <w:ind w:firstLine="708"/>
        <w:jc w:val="both"/>
        <w:rPr>
          <w:rFonts w:ascii="Arial Narrow" w:hAnsi="Arial Narrow"/>
          <w:sz w:val="26"/>
          <w:szCs w:val="26"/>
        </w:rPr>
      </w:pPr>
    </w:p>
    <w:p w:rsidR="00A610DB" w:rsidRDefault="00A610DB" w:rsidP="00FE4B62">
      <w:pPr>
        <w:ind w:firstLine="708"/>
        <w:jc w:val="both"/>
        <w:rPr>
          <w:rFonts w:ascii="Arial Narrow" w:hAnsi="Arial Narrow"/>
          <w:sz w:val="26"/>
          <w:szCs w:val="26"/>
        </w:rPr>
      </w:pPr>
    </w:p>
    <w:p w:rsidR="000242A8" w:rsidRPr="001C28F6" w:rsidRDefault="00FE4B62" w:rsidP="00FE4B62">
      <w:pPr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U</w:t>
      </w:r>
      <w:r w:rsidR="000242A8" w:rsidRPr="001C28F6">
        <w:rPr>
          <w:rFonts w:ascii="Arial Narrow" w:hAnsi="Arial Narrow"/>
          <w:sz w:val="26"/>
          <w:szCs w:val="26"/>
        </w:rPr>
        <w:t xml:space="preserve">kupna spoljnotrgovinska razmena agrarnih proizvoda Republike Srbije </w:t>
      </w:r>
      <w:r>
        <w:rPr>
          <w:rFonts w:ascii="Arial Narrow" w:hAnsi="Arial Narrow"/>
          <w:sz w:val="26"/>
          <w:szCs w:val="26"/>
        </w:rPr>
        <w:t>u</w:t>
      </w:r>
      <w:r w:rsidRPr="00FE4B62">
        <w:rPr>
          <w:rFonts w:ascii="Arial Narrow" w:hAnsi="Arial Narrow"/>
          <w:sz w:val="26"/>
          <w:szCs w:val="26"/>
        </w:rPr>
        <w:t xml:space="preserve"> periodu od januara do oktobra 2014.godine, </w:t>
      </w:r>
      <w:r w:rsidR="000242A8" w:rsidRPr="001C28F6">
        <w:rPr>
          <w:rFonts w:ascii="Arial Narrow" w:hAnsi="Arial Narrow"/>
          <w:sz w:val="26"/>
          <w:szCs w:val="26"/>
        </w:rPr>
        <w:t>je iznosila 3.</w:t>
      </w:r>
      <w:r w:rsidR="001C28F6" w:rsidRPr="001C28F6">
        <w:rPr>
          <w:rFonts w:ascii="Arial Narrow" w:hAnsi="Arial Narrow"/>
          <w:sz w:val="26"/>
          <w:szCs w:val="26"/>
        </w:rPr>
        <w:t xml:space="preserve">853,5 </w:t>
      </w:r>
      <w:r w:rsidR="000242A8" w:rsidRPr="001C28F6">
        <w:rPr>
          <w:rFonts w:ascii="Arial Narrow" w:hAnsi="Arial Narrow"/>
          <w:sz w:val="26"/>
          <w:szCs w:val="26"/>
        </w:rPr>
        <w:t>miliona USD. U ovom periodu region</w:t>
      </w:r>
      <w:r w:rsidR="001C28F6" w:rsidRPr="001C28F6">
        <w:rPr>
          <w:rFonts w:ascii="Arial Narrow" w:hAnsi="Arial Narrow"/>
          <w:sz w:val="26"/>
          <w:szCs w:val="26"/>
        </w:rPr>
        <w:t xml:space="preserve"> AP Vojvodine realizovao je 43,6</w:t>
      </w:r>
      <w:r w:rsidR="000242A8" w:rsidRPr="001C28F6">
        <w:rPr>
          <w:rFonts w:ascii="Arial Narrow" w:hAnsi="Arial Narrow"/>
          <w:sz w:val="26"/>
          <w:szCs w:val="26"/>
        </w:rPr>
        <w:t>% ukupne spoljnotrgovins</w:t>
      </w:r>
      <w:r w:rsidR="00FF3DEF" w:rsidRPr="001C28F6">
        <w:rPr>
          <w:rFonts w:ascii="Arial Narrow" w:hAnsi="Arial Narrow"/>
          <w:sz w:val="26"/>
          <w:szCs w:val="26"/>
        </w:rPr>
        <w:t xml:space="preserve">ke razmene agrarnih proizvoda </w:t>
      </w:r>
      <w:r w:rsidR="000242A8" w:rsidRPr="001C28F6">
        <w:rPr>
          <w:rFonts w:ascii="Arial Narrow" w:hAnsi="Arial Narrow"/>
          <w:sz w:val="26"/>
          <w:szCs w:val="26"/>
        </w:rPr>
        <w:t>Srbije</w:t>
      </w:r>
      <w:r w:rsidR="002E2182" w:rsidRPr="001C28F6">
        <w:rPr>
          <w:rFonts w:ascii="Arial Narrow" w:hAnsi="Arial Narrow"/>
          <w:sz w:val="26"/>
          <w:szCs w:val="26"/>
        </w:rPr>
        <w:t xml:space="preserve"> odnosno 1.</w:t>
      </w:r>
      <w:r w:rsidR="001C28F6" w:rsidRPr="001C28F6">
        <w:rPr>
          <w:rFonts w:ascii="Arial Narrow" w:hAnsi="Arial Narrow"/>
          <w:sz w:val="26"/>
          <w:szCs w:val="26"/>
        </w:rPr>
        <w:t xml:space="preserve">680,5 </w:t>
      </w:r>
      <w:r w:rsidR="002E2182" w:rsidRPr="001C28F6">
        <w:rPr>
          <w:rFonts w:ascii="Arial Narrow" w:hAnsi="Arial Narrow"/>
          <w:sz w:val="26"/>
          <w:szCs w:val="26"/>
        </w:rPr>
        <w:t>mil. USD</w:t>
      </w:r>
      <w:r w:rsidR="000242A8" w:rsidRPr="001C28F6">
        <w:rPr>
          <w:rFonts w:ascii="Arial Narrow" w:hAnsi="Arial Narrow"/>
          <w:sz w:val="26"/>
          <w:szCs w:val="26"/>
        </w:rPr>
        <w:t xml:space="preserve">. </w:t>
      </w:r>
    </w:p>
    <w:p w:rsidR="00E336C1" w:rsidRDefault="00704C3F" w:rsidP="00704C3F">
      <w:pPr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Vrednost spoljnotrgovinske razmene privrednih subjekata vojvođanskog regiona, u prvih </w:t>
      </w:r>
      <w:r w:rsidR="0084092B">
        <w:rPr>
          <w:rFonts w:ascii="Arial Narrow" w:hAnsi="Arial Narrow"/>
          <w:sz w:val="26"/>
          <w:szCs w:val="26"/>
        </w:rPr>
        <w:t>deset</w:t>
      </w:r>
      <w:r>
        <w:rPr>
          <w:rFonts w:ascii="Arial Narrow" w:hAnsi="Arial Narrow"/>
          <w:sz w:val="26"/>
          <w:szCs w:val="26"/>
        </w:rPr>
        <w:t xml:space="preserve"> meseci ove godine, iznosi </w:t>
      </w:r>
      <w:r w:rsidR="0084092B">
        <w:rPr>
          <w:rFonts w:ascii="Arial Narrow" w:hAnsi="Arial Narrow"/>
          <w:sz w:val="26"/>
          <w:szCs w:val="26"/>
        </w:rPr>
        <w:t>9.480</w:t>
      </w:r>
      <w:r>
        <w:rPr>
          <w:rFonts w:ascii="Arial Narrow" w:hAnsi="Arial Narrow"/>
          <w:sz w:val="26"/>
          <w:szCs w:val="26"/>
        </w:rPr>
        <w:t xml:space="preserve"> mil. USD. Učešće agrarne privrede u ukupnoj spoljnotrgovinskoj razmeni AP Vojvodine iznosi </w:t>
      </w:r>
      <w:r w:rsidR="002E2182">
        <w:rPr>
          <w:rFonts w:ascii="Arial Narrow" w:hAnsi="Arial Narrow"/>
          <w:sz w:val="26"/>
          <w:szCs w:val="26"/>
        </w:rPr>
        <w:t>1.</w:t>
      </w:r>
      <w:r w:rsidR="006E4ACF">
        <w:rPr>
          <w:rFonts w:ascii="Arial Narrow" w:hAnsi="Arial Narrow"/>
          <w:sz w:val="26"/>
          <w:szCs w:val="26"/>
        </w:rPr>
        <w:t>680,5</w:t>
      </w:r>
      <w:r w:rsidR="002E2182">
        <w:rPr>
          <w:rFonts w:ascii="Arial Narrow" w:hAnsi="Arial Narrow"/>
          <w:sz w:val="26"/>
          <w:szCs w:val="26"/>
        </w:rPr>
        <w:t xml:space="preserve"> mil. USD</w:t>
      </w:r>
      <w:r w:rsidR="006E4ACF">
        <w:rPr>
          <w:rFonts w:ascii="Arial Narrow" w:hAnsi="Arial Narrow"/>
          <w:sz w:val="26"/>
          <w:szCs w:val="26"/>
        </w:rPr>
        <w:t xml:space="preserve"> odnosno 17,7%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7221D7" w:rsidRDefault="009F51A0" w:rsidP="000242A8">
      <w:pPr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Spoljnotrgovinska razmena agrarnih proizvoda, regiona AP Vojvodine u periodu januar-</w:t>
      </w:r>
      <w:r w:rsidR="006E4ACF">
        <w:rPr>
          <w:rFonts w:ascii="Arial Narrow" w:hAnsi="Arial Narrow"/>
          <w:sz w:val="26"/>
          <w:szCs w:val="26"/>
        </w:rPr>
        <w:t>oktobar</w:t>
      </w:r>
      <w:r>
        <w:rPr>
          <w:rFonts w:ascii="Arial Narrow" w:hAnsi="Arial Narrow"/>
          <w:sz w:val="26"/>
          <w:szCs w:val="26"/>
        </w:rPr>
        <w:t xml:space="preserve"> 2014.godine dostigla je vrednost od 1</w:t>
      </w:r>
      <w:r w:rsidR="00314CA9">
        <w:rPr>
          <w:rFonts w:ascii="Arial Narrow" w:hAnsi="Arial Narrow"/>
          <w:sz w:val="26"/>
          <w:szCs w:val="26"/>
        </w:rPr>
        <w:t>.</w:t>
      </w:r>
      <w:r w:rsidR="006E4ACF">
        <w:rPr>
          <w:rFonts w:ascii="Arial Narrow" w:hAnsi="Arial Narrow"/>
          <w:sz w:val="26"/>
          <w:szCs w:val="26"/>
        </w:rPr>
        <w:t>680,5</w:t>
      </w:r>
      <w:r w:rsidR="00314CA9">
        <w:rPr>
          <w:rFonts w:ascii="Arial Narrow" w:hAnsi="Arial Narrow"/>
          <w:sz w:val="26"/>
          <w:szCs w:val="26"/>
        </w:rPr>
        <w:t xml:space="preserve"> mil.</w:t>
      </w:r>
      <w:r>
        <w:rPr>
          <w:rFonts w:ascii="Arial Narrow" w:hAnsi="Arial Narrow"/>
          <w:sz w:val="26"/>
          <w:szCs w:val="26"/>
        </w:rPr>
        <w:t xml:space="preserve"> USD, što je za </w:t>
      </w:r>
      <w:r w:rsidR="006E4ACF">
        <w:rPr>
          <w:rFonts w:ascii="Arial Narrow" w:hAnsi="Arial Narrow"/>
          <w:sz w:val="26"/>
          <w:szCs w:val="26"/>
        </w:rPr>
        <w:t>7,2</w:t>
      </w:r>
      <w:r>
        <w:rPr>
          <w:rFonts w:ascii="Arial Narrow" w:hAnsi="Arial Narrow"/>
          <w:sz w:val="26"/>
          <w:szCs w:val="26"/>
        </w:rPr>
        <w:t xml:space="preserve"> % više u odnosu na isti peri</w:t>
      </w:r>
      <w:r w:rsidR="00DD573C">
        <w:rPr>
          <w:rFonts w:ascii="Arial Narrow" w:hAnsi="Arial Narrow"/>
          <w:sz w:val="26"/>
          <w:szCs w:val="26"/>
        </w:rPr>
        <w:t>o</w:t>
      </w:r>
      <w:r>
        <w:rPr>
          <w:rFonts w:ascii="Arial Narrow" w:hAnsi="Arial Narrow"/>
          <w:sz w:val="26"/>
          <w:szCs w:val="26"/>
        </w:rPr>
        <w:t xml:space="preserve">d prošle godine. </w:t>
      </w:r>
    </w:p>
    <w:p w:rsidR="009F51A0" w:rsidRDefault="009266BA" w:rsidP="007221D7">
      <w:pPr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Vrednost izvoza je 2,</w:t>
      </w:r>
      <w:r w:rsidR="006E4ACF">
        <w:rPr>
          <w:rFonts w:ascii="Arial Narrow" w:hAnsi="Arial Narrow"/>
          <w:sz w:val="26"/>
          <w:szCs w:val="26"/>
        </w:rPr>
        <w:t>9</w:t>
      </w:r>
      <w:r>
        <w:rPr>
          <w:rFonts w:ascii="Arial Narrow" w:hAnsi="Arial Narrow"/>
          <w:sz w:val="26"/>
          <w:szCs w:val="26"/>
        </w:rPr>
        <w:t xml:space="preserve"> puta veća od vrednosti uvoza agrarnih proizvoda. Trend rasta suficita u spoljnotrgovinskoj razmeni agrarnih proizvoda iznosi nešto više od </w:t>
      </w:r>
      <w:r w:rsidR="006E4ACF">
        <w:rPr>
          <w:rFonts w:ascii="Arial Narrow" w:hAnsi="Arial Narrow"/>
          <w:sz w:val="26"/>
          <w:szCs w:val="26"/>
        </w:rPr>
        <w:t>8</w:t>
      </w:r>
      <w:r>
        <w:rPr>
          <w:rFonts w:ascii="Arial Narrow" w:hAnsi="Arial Narrow"/>
          <w:sz w:val="26"/>
          <w:szCs w:val="26"/>
        </w:rPr>
        <w:t xml:space="preserve">00.000 USD što čini povećanje od </w:t>
      </w:r>
      <w:r w:rsidR="006E4ACF">
        <w:rPr>
          <w:rFonts w:ascii="Arial Narrow" w:hAnsi="Arial Narrow"/>
          <w:sz w:val="26"/>
          <w:szCs w:val="26"/>
        </w:rPr>
        <w:t>4,7</w:t>
      </w:r>
      <w:r w:rsidR="003925C8">
        <w:rPr>
          <w:rFonts w:ascii="Arial Narrow" w:hAnsi="Arial Narrow"/>
          <w:sz w:val="26"/>
          <w:szCs w:val="26"/>
        </w:rPr>
        <w:t>% u odnosu na predhodni</w:t>
      </w:r>
      <w:r>
        <w:rPr>
          <w:rFonts w:ascii="Arial Narrow" w:hAnsi="Arial Narrow"/>
          <w:sz w:val="26"/>
          <w:szCs w:val="26"/>
        </w:rPr>
        <w:t xml:space="preserve"> period.</w:t>
      </w:r>
      <w:r w:rsidR="007221D7">
        <w:rPr>
          <w:rFonts w:ascii="Arial Narrow" w:hAnsi="Arial Narrow"/>
          <w:sz w:val="26"/>
          <w:szCs w:val="26"/>
        </w:rPr>
        <w:t xml:space="preserve"> </w:t>
      </w:r>
    </w:p>
    <w:p w:rsidR="009266BA" w:rsidRDefault="009266BA" w:rsidP="009F51A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BC3FC8">
        <w:rPr>
          <w:rFonts w:ascii="Arial Narrow" w:hAnsi="Arial Narrow"/>
          <w:sz w:val="26"/>
          <w:szCs w:val="26"/>
        </w:rPr>
        <w:t xml:space="preserve">U </w:t>
      </w:r>
      <w:r w:rsidR="00CE11E2">
        <w:rPr>
          <w:rFonts w:ascii="Arial Narrow" w:hAnsi="Arial Narrow"/>
          <w:sz w:val="26"/>
          <w:szCs w:val="26"/>
        </w:rPr>
        <w:t>periodu od I-</w:t>
      </w:r>
      <w:r w:rsidR="00791955">
        <w:rPr>
          <w:rFonts w:ascii="Arial Narrow" w:hAnsi="Arial Narrow"/>
          <w:sz w:val="26"/>
          <w:szCs w:val="26"/>
        </w:rPr>
        <w:t>X 2014.godine privrednici sa regiona AP Vojvodine su realizovali izvoz agrarnih proizvoda u vrednosti od 1,</w:t>
      </w:r>
      <w:r w:rsidR="00CE11E2">
        <w:rPr>
          <w:rFonts w:ascii="Arial Narrow" w:hAnsi="Arial Narrow"/>
          <w:sz w:val="26"/>
          <w:szCs w:val="26"/>
        </w:rPr>
        <w:t>24 milijardi</w:t>
      </w:r>
      <w:r w:rsidR="00791955">
        <w:rPr>
          <w:rFonts w:ascii="Arial Narrow" w:hAnsi="Arial Narrow"/>
          <w:sz w:val="26"/>
          <w:szCs w:val="26"/>
        </w:rPr>
        <w:t xml:space="preserve"> USD, što je za </w:t>
      </w:r>
      <w:r w:rsidR="00CE11E2">
        <w:rPr>
          <w:rFonts w:ascii="Arial Narrow" w:hAnsi="Arial Narrow"/>
          <w:sz w:val="26"/>
          <w:szCs w:val="26"/>
        </w:rPr>
        <w:t>6,4</w:t>
      </w:r>
      <w:r w:rsidR="00791955">
        <w:rPr>
          <w:rFonts w:ascii="Arial Narrow" w:hAnsi="Arial Narrow"/>
          <w:sz w:val="26"/>
          <w:szCs w:val="26"/>
        </w:rPr>
        <w:t xml:space="preserve">% više u odnosu na isti period prošle godine. </w:t>
      </w:r>
      <w:r w:rsidR="004B6CCE">
        <w:rPr>
          <w:rFonts w:ascii="Arial Narrow" w:hAnsi="Arial Narrow"/>
          <w:sz w:val="26"/>
          <w:szCs w:val="26"/>
        </w:rPr>
        <w:t>Vrednost uvoza agrarnih proizvoda iznosi</w:t>
      </w:r>
      <w:r w:rsidR="00CE11E2">
        <w:rPr>
          <w:rFonts w:ascii="Arial Narrow" w:hAnsi="Arial Narrow"/>
          <w:sz w:val="26"/>
          <w:szCs w:val="26"/>
        </w:rPr>
        <w:t xml:space="preserve"> 434,7</w:t>
      </w:r>
      <w:r w:rsidR="004B6CCE">
        <w:rPr>
          <w:rFonts w:ascii="Arial Narrow" w:hAnsi="Arial Narrow"/>
          <w:sz w:val="26"/>
          <w:szCs w:val="26"/>
        </w:rPr>
        <w:t xml:space="preserve"> miliona USD što čini povećanje od </w:t>
      </w:r>
      <w:r w:rsidR="00CE11E2">
        <w:rPr>
          <w:rFonts w:ascii="Arial Narrow" w:hAnsi="Arial Narrow"/>
          <w:sz w:val="26"/>
          <w:szCs w:val="26"/>
        </w:rPr>
        <w:t>9,7</w:t>
      </w:r>
      <w:r w:rsidR="004B6CCE">
        <w:rPr>
          <w:rFonts w:ascii="Arial Narrow" w:hAnsi="Arial Narrow"/>
          <w:sz w:val="26"/>
          <w:szCs w:val="26"/>
        </w:rPr>
        <w:t xml:space="preserve">% u odnosu na </w:t>
      </w:r>
      <w:r w:rsidR="003925C8">
        <w:rPr>
          <w:rFonts w:ascii="Arial Narrow" w:hAnsi="Arial Narrow"/>
          <w:sz w:val="26"/>
          <w:szCs w:val="26"/>
        </w:rPr>
        <w:t xml:space="preserve">isti </w:t>
      </w:r>
      <w:r w:rsidR="004B6CCE">
        <w:rPr>
          <w:rFonts w:ascii="Arial Narrow" w:hAnsi="Arial Narrow"/>
          <w:sz w:val="26"/>
          <w:szCs w:val="26"/>
        </w:rPr>
        <w:t>period</w:t>
      </w:r>
      <w:r w:rsidR="003925C8">
        <w:rPr>
          <w:rFonts w:ascii="Arial Narrow" w:hAnsi="Arial Narrow"/>
          <w:sz w:val="26"/>
          <w:szCs w:val="26"/>
        </w:rPr>
        <w:t xml:space="preserve"> predhodne godine</w:t>
      </w:r>
      <w:r w:rsidR="004B6CCE">
        <w:rPr>
          <w:rFonts w:ascii="Arial Narrow" w:hAnsi="Arial Narrow"/>
          <w:sz w:val="26"/>
          <w:szCs w:val="26"/>
        </w:rPr>
        <w:t>.</w:t>
      </w:r>
    </w:p>
    <w:p w:rsidR="006642FB" w:rsidRPr="006642FB" w:rsidRDefault="006642FB" w:rsidP="00174820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  <w:r w:rsidRPr="006642FB">
        <w:rPr>
          <w:rFonts w:ascii="Arial Narrow" w:eastAsiaTheme="minorHAnsi" w:hAnsi="Arial Narrow"/>
          <w:b/>
          <w:sz w:val="26"/>
          <w:szCs w:val="26"/>
          <w:lang w:eastAsia="en-US"/>
        </w:rPr>
        <w:t>Pregled spoljnotrgovinske razmene agrarnih proizvoda regiona AP Vojvodine (u USD)</w:t>
      </w:r>
    </w:p>
    <w:p w:rsidR="00616D28" w:rsidRDefault="00616D28" w:rsidP="00616D28">
      <w:pPr>
        <w:spacing w:after="0" w:line="240" w:lineRule="auto"/>
        <w:jc w:val="center"/>
        <w:rPr>
          <w:rFonts w:ascii="Arial Narrow" w:eastAsiaTheme="minorHAnsi" w:hAnsi="Arial Narrow"/>
          <w:sz w:val="22"/>
          <w:szCs w:val="22"/>
          <w:lang w:eastAsia="en-US"/>
        </w:rPr>
      </w:pPr>
    </w:p>
    <w:p w:rsidR="006642FB" w:rsidRPr="006642FB" w:rsidRDefault="00616D28" w:rsidP="00616D28">
      <w:pPr>
        <w:spacing w:after="0" w:line="240" w:lineRule="auto"/>
        <w:jc w:val="center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174820">
        <w:rPr>
          <w:rFonts w:ascii="Arial Narrow" w:eastAsiaTheme="minorHAnsi" w:hAnsi="Arial Narrow"/>
          <w:sz w:val="22"/>
          <w:szCs w:val="22"/>
          <w:lang w:eastAsia="en-US"/>
        </w:rPr>
        <w:t xml:space="preserve">             </w:t>
      </w:r>
      <w:r w:rsidR="006642FB">
        <w:rPr>
          <w:rFonts w:ascii="Arial Narrow" w:eastAsiaTheme="minorHAnsi" w:hAnsi="Arial Narrow"/>
          <w:sz w:val="22"/>
          <w:szCs w:val="22"/>
          <w:lang w:eastAsia="en-US"/>
        </w:rPr>
        <w:t>Tabela 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0"/>
        <w:gridCol w:w="1580"/>
        <w:gridCol w:w="1580"/>
        <w:gridCol w:w="1420"/>
      </w:tblGrid>
      <w:tr w:rsidR="00174820" w:rsidRPr="00616D28" w:rsidTr="009025FA">
        <w:trPr>
          <w:trHeight w:val="820"/>
          <w:jc w:val="center"/>
        </w:trPr>
        <w:tc>
          <w:tcPr>
            <w:tcW w:w="4580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174820" w:rsidRPr="00616D28" w:rsidRDefault="00174820" w:rsidP="00616D28">
            <w:pPr>
              <w:jc w:val="both"/>
              <w:rPr>
                <w:rFonts w:ascii="Arial Narrow" w:hAnsi="Arial Narrow"/>
                <w:sz w:val="26"/>
                <w:szCs w:val="26"/>
                <w:lang w:eastAsia="en-US"/>
              </w:rPr>
            </w:pPr>
          </w:p>
        </w:tc>
        <w:tc>
          <w:tcPr>
            <w:tcW w:w="1580" w:type="dxa"/>
            <w:shd w:val="pct10" w:color="auto" w:fill="auto"/>
            <w:vAlign w:val="center"/>
            <w:hideMark/>
          </w:tcPr>
          <w:p w:rsidR="00174820" w:rsidRPr="00616D28" w:rsidRDefault="00174820" w:rsidP="0017482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I-X 2013.</w:t>
            </w:r>
          </w:p>
        </w:tc>
        <w:tc>
          <w:tcPr>
            <w:tcW w:w="1580" w:type="dxa"/>
            <w:shd w:val="pct10" w:color="auto" w:fill="auto"/>
            <w:vAlign w:val="center"/>
            <w:hideMark/>
          </w:tcPr>
          <w:p w:rsidR="00174820" w:rsidRPr="00616D28" w:rsidRDefault="00174820" w:rsidP="0017482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I-X 2014.</w:t>
            </w:r>
          </w:p>
        </w:tc>
        <w:tc>
          <w:tcPr>
            <w:tcW w:w="1420" w:type="dxa"/>
            <w:shd w:val="pct10" w:color="auto" w:fill="auto"/>
            <w:vAlign w:val="center"/>
            <w:hideMark/>
          </w:tcPr>
          <w:p w:rsidR="00174820" w:rsidRPr="00616D28" w:rsidRDefault="00174820" w:rsidP="0017482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Index</w:t>
            </w:r>
          </w:p>
          <w:p w:rsidR="00174820" w:rsidRPr="00616D28" w:rsidRDefault="00174820" w:rsidP="0017482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u w:val="single"/>
                <w:lang w:eastAsia="en-US"/>
              </w:rPr>
              <w:t>I-X 2014</w:t>
            </w:r>
          </w:p>
          <w:p w:rsidR="00174820" w:rsidRPr="00616D28" w:rsidRDefault="00174820" w:rsidP="00174820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I-X 2013</w:t>
            </w:r>
          </w:p>
        </w:tc>
      </w:tr>
      <w:tr w:rsidR="00616D28" w:rsidRPr="00616D28" w:rsidTr="009025FA">
        <w:trPr>
          <w:trHeight w:val="348"/>
          <w:jc w:val="center"/>
        </w:trPr>
        <w:tc>
          <w:tcPr>
            <w:tcW w:w="4580" w:type="dxa"/>
            <w:shd w:val="pct10" w:color="auto" w:fill="auto"/>
            <w:hideMark/>
          </w:tcPr>
          <w:p w:rsidR="00616D28" w:rsidRPr="00616D28" w:rsidRDefault="00616D28" w:rsidP="00616D28">
            <w:pPr>
              <w:jc w:val="both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Ukupan IZVOZ agrara</w:t>
            </w:r>
          </w:p>
        </w:tc>
        <w:tc>
          <w:tcPr>
            <w:tcW w:w="158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1.170.917.395</w:t>
            </w:r>
          </w:p>
        </w:tc>
        <w:tc>
          <w:tcPr>
            <w:tcW w:w="158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1.245.747.710</w:t>
            </w:r>
          </w:p>
        </w:tc>
        <w:tc>
          <w:tcPr>
            <w:tcW w:w="142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106,39</w:t>
            </w:r>
          </w:p>
        </w:tc>
      </w:tr>
      <w:tr w:rsidR="00616D28" w:rsidRPr="00616D28" w:rsidTr="009025FA">
        <w:trPr>
          <w:trHeight w:val="348"/>
          <w:jc w:val="center"/>
        </w:trPr>
        <w:tc>
          <w:tcPr>
            <w:tcW w:w="4580" w:type="dxa"/>
            <w:shd w:val="pct10" w:color="auto" w:fill="auto"/>
            <w:hideMark/>
          </w:tcPr>
          <w:p w:rsidR="00616D28" w:rsidRPr="00616D28" w:rsidRDefault="00616D28" w:rsidP="00616D28">
            <w:pPr>
              <w:jc w:val="both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Ukupan UVOZ agrara</w:t>
            </w:r>
          </w:p>
        </w:tc>
        <w:tc>
          <w:tcPr>
            <w:tcW w:w="158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396.178.086</w:t>
            </w:r>
          </w:p>
        </w:tc>
        <w:tc>
          <w:tcPr>
            <w:tcW w:w="158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434.716.604</w:t>
            </w:r>
          </w:p>
        </w:tc>
        <w:tc>
          <w:tcPr>
            <w:tcW w:w="142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109,73</w:t>
            </w:r>
          </w:p>
        </w:tc>
      </w:tr>
      <w:tr w:rsidR="00616D28" w:rsidRPr="00616D28" w:rsidTr="009025FA">
        <w:trPr>
          <w:trHeight w:val="348"/>
          <w:jc w:val="center"/>
        </w:trPr>
        <w:tc>
          <w:tcPr>
            <w:tcW w:w="4580" w:type="dxa"/>
            <w:shd w:val="pct10" w:color="auto" w:fill="auto"/>
            <w:hideMark/>
          </w:tcPr>
          <w:p w:rsidR="00616D28" w:rsidRPr="00616D28" w:rsidRDefault="00616D28" w:rsidP="00616D28">
            <w:pPr>
              <w:jc w:val="both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Ukupna spoljnotrgovinska razmena</w:t>
            </w:r>
          </w:p>
        </w:tc>
        <w:tc>
          <w:tcPr>
            <w:tcW w:w="158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1.567.095.481</w:t>
            </w:r>
          </w:p>
        </w:tc>
        <w:tc>
          <w:tcPr>
            <w:tcW w:w="158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1.680.464.314</w:t>
            </w:r>
          </w:p>
        </w:tc>
        <w:tc>
          <w:tcPr>
            <w:tcW w:w="1420" w:type="dxa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107,23</w:t>
            </w:r>
          </w:p>
        </w:tc>
      </w:tr>
      <w:tr w:rsidR="00616D28" w:rsidRPr="00616D28" w:rsidTr="009025FA">
        <w:trPr>
          <w:trHeight w:val="348"/>
          <w:jc w:val="center"/>
        </w:trPr>
        <w:tc>
          <w:tcPr>
            <w:tcW w:w="4580" w:type="dxa"/>
            <w:shd w:val="pct10" w:color="auto" w:fill="auto"/>
            <w:hideMark/>
          </w:tcPr>
          <w:p w:rsidR="00616D28" w:rsidRPr="00616D28" w:rsidRDefault="00616D28" w:rsidP="00616D28">
            <w:pPr>
              <w:jc w:val="both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Bilans za agrar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774.739.309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sz w:val="26"/>
                <w:szCs w:val="26"/>
                <w:lang w:eastAsia="en-US"/>
              </w:rPr>
              <w:t>811.031.106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104,68</w:t>
            </w:r>
          </w:p>
        </w:tc>
      </w:tr>
      <w:tr w:rsidR="00616D28" w:rsidRPr="00616D28" w:rsidTr="009025FA">
        <w:trPr>
          <w:trHeight w:val="348"/>
          <w:jc w:val="center"/>
        </w:trPr>
        <w:tc>
          <w:tcPr>
            <w:tcW w:w="4580" w:type="dxa"/>
            <w:shd w:val="pct10" w:color="auto" w:fill="auto"/>
            <w:hideMark/>
          </w:tcPr>
          <w:p w:rsidR="00616D28" w:rsidRPr="00616D28" w:rsidRDefault="00616D28" w:rsidP="00616D28">
            <w:pPr>
              <w:jc w:val="both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Pokrivenost uvoza izvozom u agraru (u %)</w:t>
            </w:r>
          </w:p>
        </w:tc>
        <w:tc>
          <w:tcPr>
            <w:tcW w:w="1580" w:type="dxa"/>
            <w:shd w:val="clear" w:color="auto" w:fill="auto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295,55</w:t>
            </w:r>
          </w:p>
        </w:tc>
        <w:tc>
          <w:tcPr>
            <w:tcW w:w="1580" w:type="dxa"/>
            <w:shd w:val="clear" w:color="auto" w:fill="auto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286,57</w:t>
            </w:r>
          </w:p>
        </w:tc>
        <w:tc>
          <w:tcPr>
            <w:tcW w:w="1420" w:type="dxa"/>
            <w:shd w:val="clear" w:color="auto" w:fill="auto"/>
            <w:hideMark/>
          </w:tcPr>
          <w:p w:rsidR="00616D28" w:rsidRPr="00616D28" w:rsidRDefault="00616D28" w:rsidP="00174820">
            <w:pPr>
              <w:jc w:val="right"/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</w:pPr>
            <w:r w:rsidRPr="00616D28">
              <w:rPr>
                <w:rFonts w:ascii="Arial Narrow" w:hAnsi="Arial Narrow"/>
                <w:b/>
                <w:bCs/>
                <w:sz w:val="26"/>
                <w:szCs w:val="26"/>
                <w:lang w:eastAsia="en-US"/>
              </w:rPr>
              <w:t>96,96</w:t>
            </w:r>
          </w:p>
        </w:tc>
      </w:tr>
    </w:tbl>
    <w:p w:rsidR="00616D28" w:rsidRDefault="00616D28" w:rsidP="006642FB">
      <w:pPr>
        <w:spacing w:after="0" w:line="240" w:lineRule="auto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A9071C" w:rsidRDefault="002577AD" w:rsidP="0084014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 w:rsidRPr="00D929D0">
        <w:rPr>
          <w:rFonts w:ascii="Arial Narrow" w:eastAsiaTheme="minorHAnsi" w:hAnsi="Arial Narrow"/>
          <w:sz w:val="26"/>
          <w:szCs w:val="26"/>
          <w:lang w:eastAsia="en-US"/>
        </w:rPr>
        <w:t>Rast izvoza agrarnih proizvoda i dalje se održava izvozom kukuruza</w:t>
      </w:r>
      <w:r w:rsidR="000A78CA" w:rsidRPr="00D929D0">
        <w:rPr>
          <w:rFonts w:ascii="Arial Narrow" w:eastAsiaTheme="minorHAnsi" w:hAnsi="Arial Narrow"/>
          <w:sz w:val="26"/>
          <w:szCs w:val="26"/>
          <w:lang w:eastAsia="en-US"/>
        </w:rPr>
        <w:t xml:space="preserve"> (tabela 2.)</w:t>
      </w:r>
      <w:r w:rsidRPr="00D929D0">
        <w:rPr>
          <w:rFonts w:ascii="Arial Narrow" w:eastAsiaTheme="minorHAnsi" w:hAnsi="Arial Narrow"/>
          <w:sz w:val="26"/>
          <w:szCs w:val="26"/>
          <w:lang w:eastAsia="en-US"/>
        </w:rPr>
        <w:t xml:space="preserve">. U periodu I-X 2014.godine, izvezeno </w:t>
      </w:r>
      <w:r>
        <w:rPr>
          <w:rFonts w:ascii="Arial Narrow" w:eastAsiaTheme="minorHAnsi" w:hAnsi="Arial Narrow"/>
          <w:sz w:val="26"/>
          <w:szCs w:val="26"/>
          <w:lang w:eastAsia="en-US"/>
        </w:rPr>
        <w:t>je kukuruza u vrednosti od 2</w:t>
      </w:r>
      <w:r w:rsidR="00D929D0">
        <w:rPr>
          <w:rFonts w:ascii="Arial Narrow" w:eastAsiaTheme="minorHAnsi" w:hAnsi="Arial Narrow"/>
          <w:sz w:val="26"/>
          <w:szCs w:val="26"/>
          <w:lang w:eastAsia="en-US"/>
        </w:rPr>
        <w:t>71,9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miliona USD, što je </w:t>
      </w:r>
      <w:r w:rsidR="00D929D0">
        <w:rPr>
          <w:rFonts w:ascii="Arial Narrow" w:eastAsiaTheme="minorHAnsi" w:hAnsi="Arial Narrow"/>
          <w:sz w:val="26"/>
          <w:szCs w:val="26"/>
          <w:lang w:eastAsia="en-US"/>
        </w:rPr>
        <w:t>3</w:t>
      </w:r>
      <w:r>
        <w:rPr>
          <w:rFonts w:ascii="Arial Narrow" w:eastAsiaTheme="minorHAnsi" w:hAnsi="Arial Narrow"/>
          <w:sz w:val="26"/>
          <w:szCs w:val="26"/>
          <w:lang w:eastAsia="en-US"/>
        </w:rPr>
        <w:t>,</w:t>
      </w:r>
      <w:r w:rsidR="00D929D0">
        <w:rPr>
          <w:rFonts w:ascii="Arial Narrow" w:eastAsiaTheme="minorHAnsi" w:hAnsi="Arial Narrow"/>
          <w:sz w:val="26"/>
          <w:szCs w:val="26"/>
          <w:lang w:eastAsia="en-US"/>
        </w:rPr>
        <w:t>5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puta više nego u istom periodu 2013.godine.</w:t>
      </w:r>
      <w:r w:rsidR="00A9071C">
        <w:rPr>
          <w:rFonts w:ascii="Arial Narrow" w:eastAsiaTheme="minorHAnsi" w:hAnsi="Arial Narrow"/>
          <w:sz w:val="26"/>
          <w:szCs w:val="26"/>
          <w:lang w:eastAsia="en-US"/>
        </w:rPr>
        <w:t xml:space="preserve"> Ovakav rast izvoza u odnosu na prošlu godinu, posledica je slabe tražnje kukuruza roda 2012. godine od strane ino kupaca zbog pojave aflatoksina u kukuruzu. </w:t>
      </w:r>
    </w:p>
    <w:p w:rsidR="00A9071C" w:rsidRDefault="00A9071C" w:rsidP="0084014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0A78CA" w:rsidRDefault="009C03D8" w:rsidP="0084014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D</w:t>
      </w:r>
      <w:r w:rsidRPr="009C03D8">
        <w:rPr>
          <w:rFonts w:ascii="Arial Narrow" w:eastAsiaTheme="minorHAnsi" w:hAnsi="Arial Narrow"/>
          <w:sz w:val="26"/>
          <w:szCs w:val="26"/>
          <w:lang w:eastAsia="en-US"/>
        </w:rPr>
        <w:t xml:space="preserve">rugi artikl </w:t>
      </w:r>
      <w:r>
        <w:rPr>
          <w:rFonts w:ascii="Arial Narrow" w:eastAsiaTheme="minorHAnsi" w:hAnsi="Arial Narrow"/>
          <w:sz w:val="26"/>
          <w:szCs w:val="26"/>
          <w:lang w:eastAsia="en-US"/>
        </w:rPr>
        <w:t>p</w:t>
      </w:r>
      <w:r w:rsidR="000A78CA">
        <w:rPr>
          <w:rFonts w:ascii="Arial Narrow" w:eastAsiaTheme="minorHAnsi" w:hAnsi="Arial Narrow"/>
          <w:sz w:val="26"/>
          <w:szCs w:val="26"/>
          <w:lang w:eastAsia="en-US"/>
        </w:rPr>
        <w:t>o vrednosti izvoza,</w:t>
      </w:r>
      <w:r w:rsidR="00C34813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0A78CA">
        <w:rPr>
          <w:rFonts w:ascii="Arial Narrow" w:eastAsiaTheme="minorHAnsi" w:hAnsi="Arial Narrow"/>
          <w:sz w:val="26"/>
          <w:szCs w:val="26"/>
          <w:lang w:eastAsia="en-US"/>
        </w:rPr>
        <w:t xml:space="preserve">sektora agrara je šećer. U periodu januar - </w:t>
      </w:r>
      <w:r w:rsidR="00D929D0">
        <w:rPr>
          <w:rFonts w:ascii="Arial Narrow" w:eastAsiaTheme="minorHAnsi" w:hAnsi="Arial Narrow"/>
          <w:sz w:val="26"/>
          <w:szCs w:val="26"/>
          <w:lang w:eastAsia="en-US"/>
        </w:rPr>
        <w:t>oktobar</w:t>
      </w:r>
      <w:r w:rsidR="000A78CA">
        <w:rPr>
          <w:rFonts w:ascii="Arial Narrow" w:eastAsiaTheme="minorHAnsi" w:hAnsi="Arial Narrow"/>
          <w:sz w:val="26"/>
          <w:szCs w:val="26"/>
          <w:lang w:eastAsia="en-US"/>
        </w:rPr>
        <w:t xml:space="preserve"> re</w:t>
      </w:r>
      <w:r w:rsidR="00913750">
        <w:rPr>
          <w:rFonts w:ascii="Arial Narrow" w:eastAsiaTheme="minorHAnsi" w:hAnsi="Arial Narrow"/>
          <w:sz w:val="26"/>
          <w:szCs w:val="26"/>
          <w:lang w:eastAsia="en-US"/>
        </w:rPr>
        <w:t>a</w:t>
      </w:r>
      <w:r w:rsidR="000A78CA">
        <w:rPr>
          <w:rFonts w:ascii="Arial Narrow" w:eastAsiaTheme="minorHAnsi" w:hAnsi="Arial Narrow"/>
          <w:sz w:val="26"/>
          <w:szCs w:val="26"/>
          <w:lang w:eastAsia="en-US"/>
        </w:rPr>
        <w:t xml:space="preserve">lizovan je izvoz u vrednosti od </w:t>
      </w:r>
      <w:r w:rsidR="00D929D0">
        <w:rPr>
          <w:rFonts w:ascii="Arial Narrow" w:eastAsiaTheme="minorHAnsi" w:hAnsi="Arial Narrow"/>
          <w:sz w:val="26"/>
          <w:szCs w:val="26"/>
          <w:lang w:eastAsia="en-US"/>
        </w:rPr>
        <w:t>104,6</w:t>
      </w:r>
      <w:r w:rsidR="000A78CA">
        <w:rPr>
          <w:rFonts w:ascii="Arial Narrow" w:eastAsiaTheme="minorHAnsi" w:hAnsi="Arial Narrow"/>
          <w:sz w:val="26"/>
          <w:szCs w:val="26"/>
          <w:lang w:eastAsia="en-US"/>
        </w:rPr>
        <w:t xml:space="preserve"> miliona USD. </w:t>
      </w:r>
      <w:r w:rsidR="00913750">
        <w:rPr>
          <w:rFonts w:ascii="Arial Narrow" w:eastAsiaTheme="minorHAnsi" w:hAnsi="Arial Narrow"/>
          <w:sz w:val="26"/>
          <w:szCs w:val="26"/>
          <w:lang w:eastAsia="en-US"/>
        </w:rPr>
        <w:t xml:space="preserve">Pad </w:t>
      </w:r>
      <w:r w:rsidR="00CD5618">
        <w:rPr>
          <w:rFonts w:ascii="Arial Narrow" w:eastAsiaTheme="minorHAnsi" w:hAnsi="Arial Narrow"/>
          <w:sz w:val="26"/>
          <w:szCs w:val="26"/>
          <w:lang w:eastAsia="en-US"/>
        </w:rPr>
        <w:t xml:space="preserve">izvozne </w:t>
      </w:r>
      <w:r w:rsidR="00913750">
        <w:rPr>
          <w:rFonts w:ascii="Arial Narrow" w:eastAsiaTheme="minorHAnsi" w:hAnsi="Arial Narrow"/>
          <w:sz w:val="26"/>
          <w:szCs w:val="26"/>
          <w:lang w:eastAsia="en-US"/>
        </w:rPr>
        <w:t>cene</w:t>
      </w:r>
      <w:r w:rsidR="00CD5618">
        <w:rPr>
          <w:rFonts w:ascii="Arial Narrow" w:eastAsiaTheme="minorHAnsi" w:hAnsi="Arial Narrow"/>
          <w:sz w:val="26"/>
          <w:szCs w:val="26"/>
          <w:lang w:eastAsia="en-US"/>
        </w:rPr>
        <w:t xml:space="preserve"> za oko 30%</w:t>
      </w:r>
      <w:r w:rsidR="00913750">
        <w:rPr>
          <w:rFonts w:ascii="Arial Narrow" w:eastAsiaTheme="minorHAnsi" w:hAnsi="Arial Narrow"/>
          <w:sz w:val="26"/>
          <w:szCs w:val="26"/>
          <w:lang w:eastAsia="en-US"/>
        </w:rPr>
        <w:t xml:space="preserve">, </w:t>
      </w:r>
      <w:r w:rsidR="00C34813">
        <w:rPr>
          <w:rFonts w:ascii="Arial Narrow" w:eastAsiaTheme="minorHAnsi" w:hAnsi="Arial Narrow"/>
          <w:sz w:val="26"/>
          <w:szCs w:val="26"/>
          <w:lang w:eastAsia="en-US"/>
        </w:rPr>
        <w:t xml:space="preserve">doveo je do smanjenja vrednosti izvoza šećera za </w:t>
      </w:r>
      <w:r w:rsidR="00D929D0">
        <w:rPr>
          <w:rFonts w:ascii="Arial Narrow" w:eastAsiaTheme="minorHAnsi" w:hAnsi="Arial Narrow"/>
          <w:sz w:val="26"/>
          <w:szCs w:val="26"/>
          <w:lang w:eastAsia="en-US"/>
        </w:rPr>
        <w:t>11</w:t>
      </w:r>
      <w:r w:rsidR="00C34813">
        <w:rPr>
          <w:rFonts w:ascii="Arial Narrow" w:eastAsiaTheme="minorHAnsi" w:hAnsi="Arial Narrow"/>
          <w:sz w:val="26"/>
          <w:szCs w:val="26"/>
          <w:lang w:eastAsia="en-US"/>
        </w:rPr>
        <w:t>%</w:t>
      </w:r>
      <w:r w:rsidR="002A7DEE">
        <w:rPr>
          <w:rFonts w:ascii="Arial Narrow" w:eastAsiaTheme="minorHAnsi" w:hAnsi="Arial Narrow"/>
          <w:sz w:val="26"/>
          <w:szCs w:val="26"/>
          <w:lang w:eastAsia="en-US"/>
        </w:rPr>
        <w:t>, u odnosu na isti period predhodne godine.</w:t>
      </w:r>
    </w:p>
    <w:p w:rsidR="001C5ACA" w:rsidRPr="00D929D0" w:rsidRDefault="001C5ACA" w:rsidP="0084014B">
      <w:pPr>
        <w:spacing w:after="0" w:line="240" w:lineRule="auto"/>
        <w:ind w:firstLine="708"/>
        <w:jc w:val="both"/>
        <w:rPr>
          <w:rFonts w:ascii="Arial Narrow" w:eastAsiaTheme="minorHAnsi" w:hAnsi="Arial Narrow"/>
          <w:color w:val="FF0000"/>
          <w:sz w:val="26"/>
          <w:szCs w:val="26"/>
          <w:lang w:eastAsia="en-US"/>
        </w:rPr>
      </w:pPr>
    </w:p>
    <w:p w:rsidR="000A78CA" w:rsidRDefault="00023CFE" w:rsidP="0084014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U</w:t>
      </w:r>
      <w:r w:rsidRPr="00023CFE">
        <w:rPr>
          <w:rFonts w:ascii="Arial Narrow" w:eastAsiaTheme="minorHAnsi" w:hAnsi="Arial Narrow"/>
          <w:sz w:val="26"/>
          <w:szCs w:val="26"/>
          <w:lang w:eastAsia="en-US"/>
        </w:rPr>
        <w:t xml:space="preserve"> prvih </w:t>
      </w:r>
      <w:r w:rsidR="00D929D0">
        <w:rPr>
          <w:rFonts w:ascii="Arial Narrow" w:eastAsiaTheme="minorHAnsi" w:hAnsi="Arial Narrow"/>
          <w:sz w:val="26"/>
          <w:szCs w:val="26"/>
          <w:lang w:eastAsia="en-US"/>
        </w:rPr>
        <w:t>deset</w:t>
      </w:r>
      <w:r w:rsidRPr="00023CFE">
        <w:rPr>
          <w:rFonts w:ascii="Arial Narrow" w:eastAsiaTheme="minorHAnsi" w:hAnsi="Arial Narrow"/>
          <w:sz w:val="26"/>
          <w:szCs w:val="26"/>
          <w:lang w:eastAsia="en-US"/>
        </w:rPr>
        <w:t xml:space="preserve"> meseci ove godine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ostvarena je</w:t>
      </w:r>
      <w:r w:rsidRPr="00023CFE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>
        <w:rPr>
          <w:rFonts w:ascii="Arial Narrow" w:eastAsiaTheme="minorHAnsi" w:hAnsi="Arial Narrow"/>
          <w:sz w:val="26"/>
          <w:szCs w:val="26"/>
          <w:lang w:eastAsia="en-US"/>
        </w:rPr>
        <w:t>v</w:t>
      </w:r>
      <w:r w:rsidR="00F678A0">
        <w:rPr>
          <w:rFonts w:ascii="Arial Narrow" w:eastAsiaTheme="minorHAnsi" w:hAnsi="Arial Narrow"/>
          <w:sz w:val="26"/>
          <w:szCs w:val="26"/>
          <w:lang w:eastAsia="en-US"/>
        </w:rPr>
        <w:t>eća vrednost izvoza rezanaca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od</w:t>
      </w:r>
      <w:r w:rsidR="00F678A0">
        <w:rPr>
          <w:rFonts w:ascii="Arial Narrow" w:eastAsiaTheme="minorHAnsi" w:hAnsi="Arial Narrow"/>
          <w:sz w:val="26"/>
          <w:szCs w:val="26"/>
          <w:lang w:eastAsia="en-US"/>
        </w:rPr>
        <w:t xml:space="preserve"> šećerne repe za </w:t>
      </w:r>
      <w:r w:rsidR="00C7540A">
        <w:rPr>
          <w:rFonts w:ascii="Arial Narrow" w:eastAsiaTheme="minorHAnsi" w:hAnsi="Arial Narrow"/>
          <w:sz w:val="26"/>
          <w:szCs w:val="26"/>
          <w:lang w:eastAsia="en-US"/>
        </w:rPr>
        <w:t>52</w:t>
      </w:r>
      <w:r w:rsidR="00F678A0">
        <w:rPr>
          <w:rFonts w:ascii="Arial Narrow" w:eastAsiaTheme="minorHAnsi" w:hAnsi="Arial Narrow"/>
          <w:sz w:val="26"/>
          <w:szCs w:val="26"/>
          <w:lang w:eastAsia="en-US"/>
        </w:rPr>
        <w:t>%</w:t>
      </w:r>
      <w:r>
        <w:rPr>
          <w:rFonts w:ascii="Arial Narrow" w:eastAsiaTheme="minorHAnsi" w:hAnsi="Arial Narrow"/>
          <w:sz w:val="26"/>
          <w:szCs w:val="26"/>
          <w:lang w:eastAsia="en-US"/>
        </w:rPr>
        <w:t>, u poređenju sa istim periodom prošle godine.</w:t>
      </w:r>
    </w:p>
    <w:p w:rsidR="00AB4595" w:rsidRDefault="00AB4595" w:rsidP="0084014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DC2D9D" w:rsidRDefault="000A78CA" w:rsidP="0025309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 xml:space="preserve">Visoka cena pšenice na domaćem tržištu, uticala je na smanjenje izvozne tražnje. </w:t>
      </w:r>
      <w:r w:rsidR="0026364E">
        <w:rPr>
          <w:rFonts w:ascii="Arial Narrow" w:eastAsiaTheme="minorHAnsi" w:hAnsi="Arial Narrow"/>
          <w:sz w:val="26"/>
          <w:szCs w:val="26"/>
          <w:lang w:eastAsia="en-US"/>
        </w:rPr>
        <w:t xml:space="preserve">Do kraja </w:t>
      </w:r>
      <w:r w:rsidR="00C55B9D">
        <w:rPr>
          <w:rFonts w:ascii="Arial Narrow" w:eastAsiaTheme="minorHAnsi" w:hAnsi="Arial Narrow"/>
          <w:sz w:val="26"/>
          <w:szCs w:val="26"/>
          <w:lang w:eastAsia="en-US"/>
        </w:rPr>
        <w:t xml:space="preserve">oktobra </w:t>
      </w:r>
      <w:r w:rsidR="0026364E">
        <w:rPr>
          <w:rFonts w:ascii="Arial Narrow" w:eastAsiaTheme="minorHAnsi" w:hAnsi="Arial Narrow"/>
          <w:sz w:val="26"/>
          <w:szCs w:val="26"/>
          <w:lang w:eastAsia="en-US"/>
        </w:rPr>
        <w:t xml:space="preserve">ove godine realizovana vrednost izvoza </w:t>
      </w:r>
      <w:r w:rsidR="0025309B">
        <w:rPr>
          <w:rFonts w:ascii="Arial Narrow" w:eastAsiaTheme="minorHAnsi" w:hAnsi="Arial Narrow"/>
          <w:sz w:val="26"/>
          <w:szCs w:val="26"/>
          <w:lang w:eastAsia="en-US"/>
        </w:rPr>
        <w:t xml:space="preserve">pšenice iznosila je 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>66,9</w:t>
      </w:r>
      <w:r w:rsidR="0025309B">
        <w:rPr>
          <w:rFonts w:ascii="Arial Narrow" w:eastAsiaTheme="minorHAnsi" w:hAnsi="Arial Narrow"/>
          <w:sz w:val="26"/>
          <w:szCs w:val="26"/>
          <w:lang w:eastAsia="en-US"/>
        </w:rPr>
        <w:t xml:space="preserve"> mil.USD, što je za 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>53,6</w:t>
      </w:r>
      <w:r w:rsidR="0025309B">
        <w:rPr>
          <w:rFonts w:ascii="Arial Narrow" w:eastAsiaTheme="minorHAnsi" w:hAnsi="Arial Narrow"/>
          <w:sz w:val="26"/>
          <w:szCs w:val="26"/>
          <w:lang w:eastAsia="en-US"/>
        </w:rPr>
        <w:t xml:space="preserve"> % manje u odnosu na </w:t>
      </w:r>
      <w:r w:rsidR="00E50CB4">
        <w:rPr>
          <w:rFonts w:ascii="Arial Narrow" w:eastAsiaTheme="minorHAnsi" w:hAnsi="Arial Narrow"/>
          <w:sz w:val="26"/>
          <w:szCs w:val="26"/>
          <w:lang w:eastAsia="en-US"/>
        </w:rPr>
        <w:t>isti period u 2013.godini</w:t>
      </w:r>
      <w:r w:rsidR="0025309B">
        <w:rPr>
          <w:rFonts w:ascii="Arial Narrow" w:eastAsiaTheme="minorHAnsi" w:hAnsi="Arial Narrow"/>
          <w:sz w:val="26"/>
          <w:szCs w:val="26"/>
          <w:lang w:eastAsia="en-US"/>
        </w:rPr>
        <w:t>.</w:t>
      </w:r>
      <w:r w:rsidR="00DA532A">
        <w:rPr>
          <w:rFonts w:ascii="Arial Narrow" w:eastAsiaTheme="minorHAnsi" w:hAnsi="Arial Narrow"/>
          <w:sz w:val="26"/>
          <w:szCs w:val="26"/>
          <w:lang w:eastAsia="en-US"/>
        </w:rPr>
        <w:t xml:space="preserve"> Pored pšenice, zabeležen je i pad vrednosti izvoza brašna za 1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>2,6</w:t>
      </w:r>
      <w:r w:rsidR="00DA532A">
        <w:rPr>
          <w:rFonts w:ascii="Arial Narrow" w:eastAsiaTheme="minorHAnsi" w:hAnsi="Arial Narrow"/>
          <w:sz w:val="26"/>
          <w:szCs w:val="26"/>
          <w:lang w:eastAsia="en-US"/>
        </w:rPr>
        <w:t xml:space="preserve">%. </w:t>
      </w:r>
    </w:p>
    <w:p w:rsidR="001057BA" w:rsidRDefault="001057BA" w:rsidP="0025309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432039" w:rsidRDefault="00432039" w:rsidP="0025309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Realizovana vrednost izvoza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 xml:space="preserve"> duvana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 xml:space="preserve">od januara do oktobra 2014.godine, </w:t>
      </w:r>
      <w:r w:rsidR="009B37D1">
        <w:rPr>
          <w:rFonts w:ascii="Arial Narrow" w:eastAsiaTheme="minorHAnsi" w:hAnsi="Arial Narrow"/>
          <w:sz w:val="26"/>
          <w:szCs w:val="26"/>
          <w:lang w:eastAsia="en-US"/>
        </w:rPr>
        <w:t>veća je za 2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>2,3</w:t>
      </w:r>
      <w:r w:rsidR="009B37D1">
        <w:rPr>
          <w:rFonts w:ascii="Arial Narrow" w:eastAsiaTheme="minorHAnsi" w:hAnsi="Arial Narrow"/>
          <w:sz w:val="26"/>
          <w:szCs w:val="26"/>
          <w:lang w:eastAsia="en-US"/>
        </w:rPr>
        <w:t>%, a uljanih pogača od suncokreta veća za 2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>0</w:t>
      </w:r>
      <w:r w:rsidR="009B37D1">
        <w:rPr>
          <w:rFonts w:ascii="Arial Narrow" w:eastAsiaTheme="minorHAnsi" w:hAnsi="Arial Narrow"/>
          <w:sz w:val="26"/>
          <w:szCs w:val="26"/>
          <w:lang w:eastAsia="en-US"/>
        </w:rPr>
        <w:t>,6% u poređenju sa istim periodom u 2013.godini.</w:t>
      </w:r>
      <w:r w:rsidR="004003A6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</w:p>
    <w:p w:rsidR="00607757" w:rsidRDefault="00607757" w:rsidP="0025309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607757" w:rsidRDefault="00607757" w:rsidP="00DB022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Ove godine se među prvih deset izvoznih proizvoda nalaze</w:t>
      </w:r>
      <w:r w:rsidR="00457B6C">
        <w:rPr>
          <w:rFonts w:ascii="Arial Narrow" w:eastAsiaTheme="minorHAnsi" w:hAnsi="Arial Narrow"/>
          <w:sz w:val="26"/>
          <w:szCs w:val="26"/>
          <w:lang w:eastAsia="en-US"/>
        </w:rPr>
        <w:t xml:space="preserve"> se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t</w:t>
      </w:r>
      <w:r w:rsidRPr="00607757">
        <w:rPr>
          <w:rFonts w:ascii="Arial Narrow" w:eastAsiaTheme="minorHAnsi" w:hAnsi="Arial Narrow"/>
          <w:sz w:val="26"/>
          <w:szCs w:val="26"/>
          <w:lang w:eastAsia="en-US"/>
        </w:rPr>
        <w:t>rupovi,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Pr="00607757">
        <w:rPr>
          <w:rFonts w:ascii="Arial Narrow" w:eastAsiaTheme="minorHAnsi" w:hAnsi="Arial Narrow"/>
          <w:sz w:val="26"/>
          <w:szCs w:val="26"/>
          <w:lang w:eastAsia="en-US"/>
        </w:rPr>
        <w:t>polutke od domaćih svinja,</w:t>
      </w:r>
      <w:r w:rsidR="00457B6C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Pr="00607757">
        <w:rPr>
          <w:rFonts w:ascii="Arial Narrow" w:eastAsiaTheme="minorHAnsi" w:hAnsi="Arial Narrow"/>
          <w:sz w:val="26"/>
          <w:szCs w:val="26"/>
          <w:lang w:eastAsia="en-US"/>
        </w:rPr>
        <w:t>smrznuti,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Pr="00607757">
        <w:rPr>
          <w:rFonts w:ascii="Arial Narrow" w:eastAsiaTheme="minorHAnsi" w:hAnsi="Arial Narrow"/>
          <w:sz w:val="26"/>
          <w:szCs w:val="26"/>
          <w:lang w:eastAsia="en-US"/>
        </w:rPr>
        <w:t>sa kožom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. Ukupna vrednost izvoza ovih polutki za prvih devet meseci iznosi </w:t>
      </w:r>
      <w:r w:rsidR="00C55B9D">
        <w:rPr>
          <w:rFonts w:ascii="Arial Narrow" w:eastAsiaTheme="minorHAnsi" w:hAnsi="Arial Narrow"/>
          <w:sz w:val="26"/>
          <w:szCs w:val="26"/>
          <w:lang w:eastAsia="en-US"/>
        </w:rPr>
        <w:t>23,3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mil. dolara. </w:t>
      </w:r>
      <w:r w:rsidR="00717398">
        <w:rPr>
          <w:rFonts w:ascii="Arial Narrow" w:eastAsiaTheme="minorHAnsi" w:hAnsi="Arial Narrow"/>
          <w:sz w:val="26"/>
          <w:szCs w:val="26"/>
          <w:lang w:eastAsia="en-US"/>
        </w:rPr>
        <w:t xml:space="preserve">Skoro sva količina je je izvezena na tržište Ruske Federacije. </w:t>
      </w:r>
      <w:r>
        <w:rPr>
          <w:rFonts w:ascii="Arial Narrow" w:eastAsiaTheme="minorHAnsi" w:hAnsi="Arial Narrow"/>
          <w:sz w:val="26"/>
          <w:szCs w:val="26"/>
          <w:lang w:eastAsia="en-US"/>
        </w:rPr>
        <w:t>U predhodnom periodu, kada nisu bili pod sankcijama, Rusi</w:t>
      </w:r>
      <w:r w:rsidR="00457B6C">
        <w:rPr>
          <w:rFonts w:ascii="Arial Narrow" w:eastAsiaTheme="minorHAnsi" w:hAnsi="Arial Narrow"/>
          <w:sz w:val="26"/>
          <w:szCs w:val="26"/>
          <w:lang w:eastAsia="en-US"/>
        </w:rPr>
        <w:t>ja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ni</w:t>
      </w:r>
      <w:r w:rsidR="00457B6C">
        <w:rPr>
          <w:rFonts w:ascii="Arial Narrow" w:eastAsiaTheme="minorHAnsi" w:hAnsi="Arial Narrow"/>
          <w:sz w:val="26"/>
          <w:szCs w:val="26"/>
          <w:lang w:eastAsia="en-US"/>
        </w:rPr>
        <w:t>je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imal</w:t>
      </w:r>
      <w:r w:rsidR="00457B6C">
        <w:rPr>
          <w:rFonts w:ascii="Arial Narrow" w:eastAsiaTheme="minorHAnsi" w:hAnsi="Arial Narrow"/>
          <w:sz w:val="26"/>
          <w:szCs w:val="26"/>
          <w:lang w:eastAsia="en-US"/>
        </w:rPr>
        <w:t>a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interesa da kupuj</w:t>
      </w:r>
      <w:r w:rsidR="00457B6C">
        <w:rPr>
          <w:rFonts w:ascii="Arial Narrow" w:eastAsiaTheme="minorHAnsi" w:hAnsi="Arial Narrow"/>
          <w:sz w:val="26"/>
          <w:szCs w:val="26"/>
          <w:lang w:eastAsia="en-US"/>
        </w:rPr>
        <w:t>e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polutke od nas</w:t>
      </w:r>
      <w:r w:rsidR="00C4708C">
        <w:rPr>
          <w:rFonts w:ascii="Arial Narrow" w:eastAsiaTheme="minorHAnsi" w:hAnsi="Arial Narrow"/>
          <w:sz w:val="26"/>
          <w:szCs w:val="26"/>
          <w:lang w:eastAsia="en-US"/>
        </w:rPr>
        <w:t xml:space="preserve">, pošto su ih jeftinije nabavljali od nekih drugih evropskih zemalja. 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</w:p>
    <w:p w:rsidR="00B47570" w:rsidRDefault="00B47570" w:rsidP="00B47570">
      <w:pPr>
        <w:spacing w:after="0" w:line="240" w:lineRule="auto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B47570" w:rsidRPr="00B47570" w:rsidRDefault="00B47570" w:rsidP="00B47570">
      <w:pPr>
        <w:spacing w:after="0" w:line="240" w:lineRule="auto"/>
        <w:jc w:val="both"/>
        <w:rPr>
          <w:rFonts w:ascii="Arial Narrow" w:eastAsiaTheme="minorHAnsi" w:hAnsi="Arial Narrow"/>
          <w:b/>
          <w:sz w:val="26"/>
          <w:szCs w:val="26"/>
          <w:lang w:eastAsia="en-US"/>
        </w:rPr>
      </w:pPr>
      <w:r w:rsidRPr="00B47570">
        <w:rPr>
          <w:rFonts w:ascii="Arial Narrow" w:eastAsiaTheme="minorHAnsi" w:hAnsi="Arial Narrow"/>
          <w:b/>
          <w:sz w:val="26"/>
          <w:szCs w:val="26"/>
          <w:lang w:eastAsia="en-US"/>
        </w:rPr>
        <w:t>Pregled kretanja vrednosti najzastupljenijih agrarnih proizvoda u izvozu (u mil. USD)</w:t>
      </w:r>
    </w:p>
    <w:tbl>
      <w:tblPr>
        <w:tblpPr w:leftFromText="180" w:rightFromText="180" w:vertAnchor="page" w:horzAnchor="margin" w:tblpXSpec="center" w:tblpY="7669"/>
        <w:tblW w:w="9747" w:type="dxa"/>
        <w:tblLook w:val="04A0" w:firstRow="1" w:lastRow="0" w:firstColumn="1" w:lastColumn="0" w:noHBand="0" w:noVBand="1"/>
      </w:tblPr>
      <w:tblGrid>
        <w:gridCol w:w="4888"/>
        <w:gridCol w:w="1741"/>
        <w:gridCol w:w="1559"/>
        <w:gridCol w:w="1559"/>
      </w:tblGrid>
      <w:tr w:rsidR="00B47570" w:rsidRPr="001C79BF" w:rsidTr="009025FA">
        <w:trPr>
          <w:trHeight w:val="682"/>
        </w:trPr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C79BF">
              <w:rPr>
                <w:rFonts w:ascii="Arial Narrow" w:hAnsi="Arial Narrow"/>
                <w:color w:val="000000"/>
                <w:sz w:val="22"/>
                <w:szCs w:val="22"/>
              </w:rPr>
              <w:t>Naziv artikla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C79B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Izvoz I-X 2013.u dolarima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C79B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Izvoz I-X 2014. u dolarima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C79B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Index</w:t>
            </w:r>
          </w:p>
          <w:p w:rsidR="00B47570" w:rsidRPr="001C79BF" w:rsidRDefault="00B47570" w:rsidP="00B4757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C79B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I-X 2014</w:t>
            </w:r>
          </w:p>
        </w:tc>
      </w:tr>
      <w:tr w:rsidR="00B47570" w:rsidRPr="001C79BF" w:rsidTr="009025FA">
        <w:trPr>
          <w:trHeight w:val="430"/>
        </w:trPr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C79BF" w:rsidRDefault="00B47570" w:rsidP="00B4757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C79B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I-X 2013.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Kukuruz,ostalo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76.679.177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271.902.020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354,60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Šećer beli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117.526.838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104.656.469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89,05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Ulje od suncokreta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71.383.499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67.385.437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94,40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Pšenica i napolica,ostalo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144.273.173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66.867.041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46,35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Pivo,dobijeno od slada,u bocama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42.839.464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36.384.291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84,93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Brašno,od obične pšenice i pira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32.407.705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28.313.601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87,37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Rezanci od šećerne repe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16.542.461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25.157.259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152,08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both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Ulje  od soje,sirovo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23.837.471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24.889.362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104,41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Trupovi,polutke od domaćih svinja,smrznuti,sa kožom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23.267.743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-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Koncentrati belančevina bez mlečnih masnoća i slično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19.323.043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21.200.483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109,72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Koncentrati belančevina, teksturirane materije,ostalo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17.135.023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19.502.034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113,81</w:t>
            </w:r>
          </w:p>
        </w:tc>
      </w:tr>
      <w:tr w:rsidR="00B47570" w:rsidRPr="001C79BF" w:rsidTr="009025FA">
        <w:trPr>
          <w:trHeight w:val="4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 xml:space="preserve">Duvan,delimično ili potpuno ižiljen,duvan sušen u sušari 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13.807.496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16.892.312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122,34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Pogače uljane od suncokreta i drugi čvrsti ostaci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13.760.434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16.604.241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120,67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Kukuruz obični hibridi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14.406.125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16.125.040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111,93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Smeše krmne,skrob&gt;30%,mlečni proizvodi &lt;10%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14.966.303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66978">
              <w:rPr>
                <w:rFonts w:ascii="Arial Narrow" w:hAnsi="Arial Narrow"/>
                <w:sz w:val="24"/>
                <w:szCs w:val="24"/>
              </w:rPr>
              <w:t>16.106.155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5D3560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10000"/>
                <w:sz w:val="24"/>
                <w:szCs w:val="24"/>
              </w:rPr>
              <w:t>107,62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15 artikala u izvozu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618.888.212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755.253.488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  <w:t>122,03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% učešća 15 artikala u ukupnom izvozu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52,85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60,63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  <w:t>114,70</w:t>
            </w:r>
          </w:p>
        </w:tc>
      </w:tr>
      <w:tr w:rsidR="00B47570" w:rsidRPr="001C79BF" w:rsidTr="009025FA">
        <w:trPr>
          <w:trHeight w:val="312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VREDNOST IZVOZA AGRARNIH PROIZVODA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1.170.917.395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1.245.747.710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70" w:rsidRPr="00166978" w:rsidRDefault="00B47570" w:rsidP="00B47570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  <w:t>106,39</w:t>
            </w:r>
          </w:p>
        </w:tc>
      </w:tr>
    </w:tbl>
    <w:p w:rsidR="00E43837" w:rsidRPr="002B1BCF" w:rsidRDefault="002B1BCF" w:rsidP="00B47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ind w:firstLine="708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</w:p>
    <w:p w:rsidR="00B47570" w:rsidRPr="00B47570" w:rsidRDefault="00B47570" w:rsidP="00B47570">
      <w:pPr>
        <w:spacing w:after="0" w:line="240" w:lineRule="auto"/>
        <w:ind w:firstLine="708"/>
        <w:jc w:val="right"/>
        <w:rPr>
          <w:rFonts w:ascii="Arial Narrow" w:eastAsiaTheme="minorHAnsi" w:hAnsi="Arial Narrow"/>
          <w:lang w:eastAsia="en-US"/>
        </w:rPr>
      </w:pPr>
      <w:r w:rsidRPr="00B47570">
        <w:rPr>
          <w:rFonts w:ascii="Arial Narrow" w:eastAsiaTheme="minorHAnsi" w:hAnsi="Arial Narrow"/>
          <w:lang w:eastAsia="en-US"/>
        </w:rPr>
        <w:t xml:space="preserve">                             </w:t>
      </w:r>
      <w:r>
        <w:rPr>
          <w:rFonts w:ascii="Arial Narrow" w:eastAsiaTheme="minorHAnsi" w:hAnsi="Arial Narrow"/>
          <w:lang w:eastAsia="en-US"/>
        </w:rPr>
        <w:t xml:space="preserve">                                  </w:t>
      </w:r>
      <w:r w:rsidRPr="00B47570">
        <w:rPr>
          <w:rFonts w:ascii="Arial Narrow" w:eastAsiaTheme="minorHAnsi" w:hAnsi="Arial Narrow"/>
          <w:lang w:eastAsia="en-US"/>
        </w:rPr>
        <w:t>Tabela 2</w:t>
      </w:r>
      <w:r w:rsidRPr="00B47570">
        <w:rPr>
          <w:rFonts w:ascii="Arial Narrow" w:eastAsiaTheme="minorHAnsi" w:hAnsi="Arial Narrow"/>
          <w:lang w:eastAsia="en-US"/>
        </w:rPr>
        <w:tab/>
      </w:r>
    </w:p>
    <w:p w:rsidR="001C5ACA" w:rsidRDefault="00E9244C" w:rsidP="001952F8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 xml:space="preserve">U periodu od januara do </w:t>
      </w:r>
      <w:r w:rsidR="007E3E3A">
        <w:rPr>
          <w:rFonts w:ascii="Arial Narrow" w:eastAsiaTheme="minorHAnsi" w:hAnsi="Arial Narrow"/>
          <w:sz w:val="26"/>
          <w:szCs w:val="26"/>
          <w:lang w:eastAsia="en-US"/>
        </w:rPr>
        <w:t xml:space="preserve">oktobra 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2014.godine, rast uvoza evidentan je </w:t>
      </w:r>
      <w:r w:rsidR="00A3654A">
        <w:rPr>
          <w:rFonts w:ascii="Arial Narrow" w:eastAsiaTheme="minorHAnsi" w:hAnsi="Arial Narrow"/>
          <w:sz w:val="26"/>
          <w:szCs w:val="26"/>
          <w:lang w:eastAsia="en-US"/>
        </w:rPr>
        <w:t>kod</w:t>
      </w:r>
      <w:r w:rsidR="007B679F">
        <w:rPr>
          <w:rFonts w:ascii="Arial Narrow" w:eastAsiaTheme="minorHAnsi" w:hAnsi="Arial Narrow"/>
          <w:sz w:val="26"/>
          <w:szCs w:val="26"/>
          <w:lang w:eastAsia="en-US"/>
        </w:rPr>
        <w:t xml:space="preserve"> svinja, mase preko 50kg i svinjskog mesa bez kostiju (smrznuto). Vrednost uvoza svinja u ovom periodu </w:t>
      </w:r>
      <w:r w:rsidR="00A3654A">
        <w:rPr>
          <w:rFonts w:ascii="Arial Narrow" w:eastAsiaTheme="minorHAnsi" w:hAnsi="Arial Narrow"/>
          <w:sz w:val="26"/>
          <w:szCs w:val="26"/>
          <w:lang w:eastAsia="en-US"/>
        </w:rPr>
        <w:t>iznosi 3</w:t>
      </w:r>
      <w:r w:rsidR="007E3E3A">
        <w:rPr>
          <w:rFonts w:ascii="Arial Narrow" w:eastAsiaTheme="minorHAnsi" w:hAnsi="Arial Narrow"/>
          <w:sz w:val="26"/>
          <w:szCs w:val="26"/>
          <w:lang w:eastAsia="en-US"/>
        </w:rPr>
        <w:t>8</w:t>
      </w:r>
      <w:r w:rsidR="00A3654A">
        <w:rPr>
          <w:rFonts w:ascii="Arial Narrow" w:eastAsiaTheme="minorHAnsi" w:hAnsi="Arial Narrow"/>
          <w:sz w:val="26"/>
          <w:szCs w:val="26"/>
          <w:lang w:eastAsia="en-US"/>
        </w:rPr>
        <w:t>,</w:t>
      </w:r>
      <w:r w:rsidR="007E3E3A">
        <w:rPr>
          <w:rFonts w:ascii="Arial Narrow" w:eastAsiaTheme="minorHAnsi" w:hAnsi="Arial Narrow"/>
          <w:sz w:val="26"/>
          <w:szCs w:val="26"/>
          <w:lang w:eastAsia="en-US"/>
        </w:rPr>
        <w:t>9</w:t>
      </w:r>
      <w:r w:rsidR="00A3654A">
        <w:rPr>
          <w:rFonts w:ascii="Arial Narrow" w:eastAsiaTheme="minorHAnsi" w:hAnsi="Arial Narrow"/>
          <w:sz w:val="26"/>
          <w:szCs w:val="26"/>
          <w:lang w:eastAsia="en-US"/>
        </w:rPr>
        <w:t xml:space="preserve"> mil.USD i u odnosu na isti period prošle godine veći je 2,9 puta. </w:t>
      </w:r>
    </w:p>
    <w:p w:rsidR="00B47570" w:rsidRDefault="00B47570" w:rsidP="001952F8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4B0710" w:rsidRDefault="00A3654A" w:rsidP="001952F8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 w:rsidRPr="00A3654A">
        <w:rPr>
          <w:rFonts w:ascii="Arial Narrow" w:eastAsiaTheme="minorHAnsi" w:hAnsi="Arial Narrow"/>
          <w:sz w:val="26"/>
          <w:szCs w:val="26"/>
          <w:lang w:eastAsia="en-US"/>
        </w:rPr>
        <w:t>Vrednost uvoza svinjskog mesa bez kostiju u prvih de</w:t>
      </w:r>
      <w:r w:rsidR="007E3E3A">
        <w:rPr>
          <w:rFonts w:ascii="Arial Narrow" w:eastAsiaTheme="minorHAnsi" w:hAnsi="Arial Narrow"/>
          <w:sz w:val="26"/>
          <w:szCs w:val="26"/>
          <w:lang w:eastAsia="en-US"/>
        </w:rPr>
        <w:t>set</w:t>
      </w:r>
      <w:r w:rsidRPr="00A3654A">
        <w:rPr>
          <w:rFonts w:ascii="Arial Narrow" w:eastAsiaTheme="minorHAnsi" w:hAnsi="Arial Narrow"/>
          <w:sz w:val="26"/>
          <w:szCs w:val="26"/>
          <w:lang w:eastAsia="en-US"/>
        </w:rPr>
        <w:t xml:space="preserve"> meseci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iznosi </w:t>
      </w:r>
      <w:r w:rsidR="007E3E3A">
        <w:rPr>
          <w:rFonts w:ascii="Arial Narrow" w:eastAsiaTheme="minorHAnsi" w:hAnsi="Arial Narrow"/>
          <w:sz w:val="26"/>
          <w:szCs w:val="26"/>
          <w:lang w:eastAsia="en-US"/>
        </w:rPr>
        <w:t>20,4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mil.USD, što je za 9</w:t>
      </w:r>
      <w:r w:rsidR="007E3E3A">
        <w:rPr>
          <w:rFonts w:ascii="Arial Narrow" w:eastAsiaTheme="minorHAnsi" w:hAnsi="Arial Narrow"/>
          <w:sz w:val="26"/>
          <w:szCs w:val="26"/>
          <w:lang w:eastAsia="en-US"/>
        </w:rPr>
        <w:t>7,6</w:t>
      </w:r>
      <w:r>
        <w:rPr>
          <w:rFonts w:ascii="Arial Narrow" w:eastAsiaTheme="minorHAnsi" w:hAnsi="Arial Narrow"/>
          <w:sz w:val="26"/>
          <w:szCs w:val="26"/>
          <w:lang w:eastAsia="en-US"/>
        </w:rPr>
        <w:t>% više nego u periodu I-X 2013.godine.</w:t>
      </w:r>
      <w:r w:rsidR="00CA0973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</w:p>
    <w:p w:rsidR="0003326E" w:rsidRDefault="0003326E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0048AF" w:rsidRDefault="000048AF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Promene u izvozu svinjetine u Rusiju, povećani uvoz iz EU posledica su promena u spoljnotrgovinskoj razmeni EU i Rusije. Uvoz prasadi i svinja do 50 kg.mase odvija se po smanjenim stopama carine. To može doprineti poboljšanjem rasnog sastava u Srbij, ali nosi i opasnost gašenja sopstvene</w:t>
      </w:r>
      <w:r w:rsidR="00A610DB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>
        <w:rPr>
          <w:rFonts w:ascii="Arial Narrow" w:eastAsiaTheme="minorHAnsi" w:hAnsi="Arial Narrow"/>
          <w:sz w:val="26"/>
          <w:szCs w:val="26"/>
          <w:lang w:eastAsia="en-US"/>
        </w:rPr>
        <w:t>proizvodnja prasadi.</w:t>
      </w:r>
    </w:p>
    <w:p w:rsidR="000048AF" w:rsidRDefault="000048AF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A610DB" w:rsidRDefault="00A610DB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0048AF" w:rsidRDefault="000048AF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Ovakvim uvozom povećanih količina otkoštanog mesa direktno se utiče na pogoršanje kvaliteta ishrane domaćeg stanovništva, jer se radi o mesu lošijeg kvaliteta koje se koristi u preradi u polutrajne i trajne proizvoda mesne industrije.</w:t>
      </w:r>
    </w:p>
    <w:p w:rsidR="000048AF" w:rsidRDefault="000048AF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7B0391" w:rsidRDefault="0003326E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Rast vrednosti uvoza za period januar-</w:t>
      </w:r>
      <w:r w:rsidR="007B0391">
        <w:rPr>
          <w:rFonts w:ascii="Arial Narrow" w:eastAsiaTheme="minorHAnsi" w:hAnsi="Arial Narrow"/>
          <w:sz w:val="26"/>
          <w:szCs w:val="26"/>
          <w:lang w:eastAsia="en-US"/>
        </w:rPr>
        <w:t>oktobar</w:t>
      </w:r>
      <w:r>
        <w:rPr>
          <w:rFonts w:ascii="Arial Narrow" w:eastAsiaTheme="minorHAnsi" w:hAnsi="Arial Narrow"/>
          <w:sz w:val="26"/>
          <w:szCs w:val="26"/>
          <w:lang w:eastAsia="en-US"/>
        </w:rPr>
        <w:t>, zabeležen je i kod banana (</w:t>
      </w:r>
      <w:r w:rsidR="007B0391">
        <w:rPr>
          <w:rFonts w:ascii="Arial Narrow" w:eastAsiaTheme="minorHAnsi" w:hAnsi="Arial Narrow"/>
          <w:sz w:val="26"/>
          <w:szCs w:val="26"/>
          <w:lang w:eastAsia="en-US"/>
        </w:rPr>
        <w:t>29,8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%), </w:t>
      </w:r>
      <w:r w:rsidR="007B0391">
        <w:rPr>
          <w:rFonts w:ascii="Arial Narrow" w:eastAsiaTheme="minorHAnsi" w:hAnsi="Arial Narrow"/>
          <w:sz w:val="26"/>
          <w:szCs w:val="26"/>
          <w:lang w:eastAsia="en-US"/>
        </w:rPr>
        <w:t>p</w:t>
      </w:r>
      <w:r w:rsidRPr="0003326E">
        <w:rPr>
          <w:rFonts w:ascii="Arial Narrow" w:eastAsiaTheme="minorHAnsi" w:hAnsi="Arial Narrow"/>
          <w:sz w:val="26"/>
          <w:szCs w:val="26"/>
          <w:lang w:eastAsia="en-US"/>
        </w:rPr>
        <w:t>ogače uljane i ostali čvrsti ostaci od soje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(1</w:t>
      </w:r>
      <w:r w:rsidR="007B0391">
        <w:rPr>
          <w:rFonts w:ascii="Arial Narrow" w:eastAsiaTheme="minorHAnsi" w:hAnsi="Arial Narrow"/>
          <w:sz w:val="26"/>
          <w:szCs w:val="26"/>
          <w:lang w:eastAsia="en-US"/>
        </w:rPr>
        <w:t>9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,7%), dok je uvoz kukuruza i dalje značajan po vrednosti uvoza ali bez većih promena u odnosu na isti period predhodne godine. </w:t>
      </w:r>
    </w:p>
    <w:p w:rsidR="007B0391" w:rsidRDefault="007B0391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03326E" w:rsidRDefault="007B0391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U periodu od januara do oktobra 2014.godine vrednost uvoza kafe je manja za 20%, a semena šećerne repe manja je za 17,4%</w:t>
      </w:r>
      <w:r w:rsidR="004F2424">
        <w:rPr>
          <w:rFonts w:ascii="Arial Narrow" w:eastAsiaTheme="minorHAnsi" w:hAnsi="Arial Narrow"/>
          <w:sz w:val="26"/>
          <w:szCs w:val="26"/>
          <w:lang w:eastAsia="en-US"/>
        </w:rPr>
        <w:t xml:space="preserve"> u poređenju sa istim periodom prošle godine.</w:t>
      </w:r>
    </w:p>
    <w:p w:rsidR="001059F0" w:rsidRDefault="001059F0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1059F0" w:rsidRPr="001059F0" w:rsidRDefault="001059F0" w:rsidP="00A3654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 w:rsidRPr="001059F0">
        <w:rPr>
          <w:rFonts w:ascii="Arial Narrow" w:eastAsiaTheme="minorHAnsi" w:hAnsi="Arial Narrow"/>
          <w:sz w:val="26"/>
          <w:szCs w:val="26"/>
          <w:lang w:eastAsia="en-US"/>
        </w:rPr>
        <w:t xml:space="preserve">Ukupna vrednost uvoza 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agrarnih proizvoda iznosi </w:t>
      </w:r>
      <w:r w:rsidR="004F2424">
        <w:rPr>
          <w:rFonts w:ascii="Arial Narrow" w:eastAsiaTheme="minorHAnsi" w:hAnsi="Arial Narrow"/>
          <w:sz w:val="26"/>
          <w:szCs w:val="26"/>
          <w:lang w:eastAsia="en-US"/>
        </w:rPr>
        <w:t>434,7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mil.USD, a 1</w:t>
      </w:r>
      <w:r w:rsidR="004F2424">
        <w:rPr>
          <w:rFonts w:ascii="Arial Narrow" w:eastAsiaTheme="minorHAnsi" w:hAnsi="Arial Narrow"/>
          <w:sz w:val="26"/>
          <w:szCs w:val="26"/>
          <w:lang w:eastAsia="en-US"/>
        </w:rPr>
        <w:t>5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proizvoda učestvuje sa čak </w:t>
      </w:r>
      <w:r w:rsidR="004F2424">
        <w:rPr>
          <w:rFonts w:ascii="Arial Narrow" w:eastAsiaTheme="minorHAnsi" w:hAnsi="Arial Narrow"/>
          <w:sz w:val="26"/>
          <w:szCs w:val="26"/>
          <w:lang w:eastAsia="en-US"/>
        </w:rPr>
        <w:t>50,4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% </w:t>
      </w:r>
      <w:r w:rsidR="00077689">
        <w:rPr>
          <w:rFonts w:ascii="Arial Narrow" w:eastAsiaTheme="minorHAnsi" w:hAnsi="Arial Narrow"/>
          <w:sz w:val="26"/>
          <w:szCs w:val="26"/>
          <w:lang w:eastAsia="en-US"/>
        </w:rPr>
        <w:t>od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ukupno</w:t>
      </w:r>
      <w:r w:rsidR="00077689">
        <w:rPr>
          <w:rFonts w:ascii="Arial Narrow" w:eastAsiaTheme="minorHAnsi" w:hAnsi="Arial Narrow"/>
          <w:sz w:val="26"/>
          <w:szCs w:val="26"/>
          <w:lang w:eastAsia="en-US"/>
        </w:rPr>
        <w:t>g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uvoz</w:t>
      </w:r>
      <w:r w:rsidR="00077689">
        <w:rPr>
          <w:rFonts w:ascii="Arial Narrow" w:eastAsiaTheme="minorHAnsi" w:hAnsi="Arial Narrow"/>
          <w:sz w:val="26"/>
          <w:szCs w:val="26"/>
          <w:lang w:eastAsia="en-US"/>
        </w:rPr>
        <w:t>a</w:t>
      </w:r>
      <w:r w:rsidR="006D36B9">
        <w:rPr>
          <w:rFonts w:ascii="Arial Narrow" w:eastAsiaTheme="minorHAnsi" w:hAnsi="Arial Narrow"/>
          <w:sz w:val="26"/>
          <w:szCs w:val="26"/>
          <w:lang w:eastAsia="en-US"/>
        </w:rPr>
        <w:t>.</w:t>
      </w:r>
    </w:p>
    <w:p w:rsidR="00CF556F" w:rsidRDefault="00CF556F" w:rsidP="00367F0B">
      <w:pPr>
        <w:spacing w:after="0" w:line="240" w:lineRule="auto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367F0B" w:rsidRDefault="00367F0B" w:rsidP="00A12D52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  <w:r w:rsidRPr="00367F0B">
        <w:rPr>
          <w:rFonts w:ascii="Arial Narrow" w:eastAsiaTheme="minorHAnsi" w:hAnsi="Arial Narrow"/>
          <w:b/>
          <w:sz w:val="26"/>
          <w:szCs w:val="26"/>
          <w:lang w:eastAsia="en-US"/>
        </w:rPr>
        <w:t xml:space="preserve">Pregled kretanja vrednosti najzastupljenijih agrarnih proizvoda u uvozu (u </w:t>
      </w:r>
      <w:r w:rsidR="0000652B" w:rsidRPr="0000652B">
        <w:rPr>
          <w:rFonts w:ascii="Arial Narrow" w:eastAsiaTheme="minorHAnsi" w:hAnsi="Arial Narrow"/>
          <w:b/>
          <w:sz w:val="26"/>
          <w:szCs w:val="26"/>
          <w:lang w:eastAsia="en-US"/>
        </w:rPr>
        <w:t>mil.</w:t>
      </w:r>
      <w:r w:rsidRPr="00367F0B">
        <w:rPr>
          <w:rFonts w:ascii="Arial Narrow" w:eastAsiaTheme="minorHAnsi" w:hAnsi="Arial Narrow"/>
          <w:b/>
          <w:sz w:val="26"/>
          <w:szCs w:val="26"/>
          <w:lang w:eastAsia="en-US"/>
        </w:rPr>
        <w:t>USD)</w:t>
      </w:r>
    </w:p>
    <w:p w:rsidR="00166978" w:rsidRDefault="00166978" w:rsidP="00A12D52">
      <w:pPr>
        <w:spacing w:after="0" w:line="240" w:lineRule="auto"/>
        <w:jc w:val="center"/>
        <w:rPr>
          <w:rFonts w:ascii="Arial Narrow" w:eastAsiaTheme="minorHAnsi" w:hAnsi="Arial Narrow"/>
          <w:lang w:eastAsia="en-US"/>
        </w:rPr>
      </w:pPr>
      <w:r w:rsidRPr="00166978"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166978" w:rsidRPr="00166978" w:rsidRDefault="00166978" w:rsidP="00166978">
      <w:pPr>
        <w:spacing w:after="0" w:line="240" w:lineRule="auto"/>
        <w:ind w:left="7788" w:firstLine="708"/>
        <w:jc w:val="center"/>
        <w:rPr>
          <w:rFonts w:ascii="Arial Narrow" w:eastAsiaTheme="minorHAnsi" w:hAnsi="Arial Narrow"/>
          <w:lang w:eastAsia="en-US"/>
        </w:rPr>
      </w:pPr>
      <w:r w:rsidRPr="00166978">
        <w:rPr>
          <w:rFonts w:ascii="Arial Narrow" w:eastAsiaTheme="minorHAnsi" w:hAnsi="Arial Narrow"/>
          <w:lang w:eastAsia="en-US"/>
        </w:rPr>
        <w:t xml:space="preserve"> Tabela 3.</w:t>
      </w:r>
      <w:r>
        <w:rPr>
          <w:rFonts w:ascii="Arial Narrow" w:eastAsiaTheme="minorHAnsi" w:hAnsi="Arial Narrow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225"/>
        <w:tblW w:w="9820" w:type="dxa"/>
        <w:tblLook w:val="04A0" w:firstRow="1" w:lastRow="0" w:firstColumn="1" w:lastColumn="0" w:noHBand="0" w:noVBand="1"/>
      </w:tblPr>
      <w:tblGrid>
        <w:gridCol w:w="5544"/>
        <w:gridCol w:w="1701"/>
        <w:gridCol w:w="1395"/>
        <w:gridCol w:w="1180"/>
      </w:tblGrid>
      <w:tr w:rsidR="00A610DB" w:rsidRPr="00890C54" w:rsidTr="005D3560">
        <w:trPr>
          <w:cantSplit/>
          <w:trHeight w:val="312"/>
        </w:trPr>
        <w:tc>
          <w:tcPr>
            <w:tcW w:w="5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Naziv artikla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Uvoz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Uvoz 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Index</w:t>
            </w:r>
          </w:p>
        </w:tc>
      </w:tr>
      <w:tr w:rsidR="00A610DB" w:rsidRPr="00890C54" w:rsidTr="005D3560">
        <w:trPr>
          <w:trHeight w:val="312"/>
        </w:trPr>
        <w:tc>
          <w:tcPr>
            <w:tcW w:w="5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I-X 2013.u dolarima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I-X 2014. u dolarima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u w:val="single"/>
              </w:rPr>
              <w:t>I-X 2014</w:t>
            </w:r>
          </w:p>
        </w:tc>
      </w:tr>
      <w:tr w:rsidR="00A610DB" w:rsidRPr="00890C54" w:rsidTr="005D3560">
        <w:trPr>
          <w:trHeight w:val="48"/>
        </w:trPr>
        <w:tc>
          <w:tcPr>
            <w:tcW w:w="5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69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697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I-X 2013.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 xml:space="preserve">Pogače uljane i ostali čvrsti ostaci od soje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36.753.502 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43.988.625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     119,7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Svinje mase preko 50 kg, domaće vrste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13.237.004 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38.874.984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293,7 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Meso svinjsko bez kostiju od domaćih svinja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10.305.133 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20.362.194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197,6 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Kafa sa kofeinom nepržena ostalo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23.308.936 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18.671.078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       80,1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Kukuruz običan hibridni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17.880.994 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17.523.752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       98,0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both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Banane, ostale sveže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11.498.839 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14.926.502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129,8 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Kože goveđe, krupne i sitne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16.195.749 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12.890.337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         79,6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Cigarete koje sadrže duvan, ostale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8.084.559 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9.008.043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111,4 </w:t>
            </w:r>
          </w:p>
        </w:tc>
      </w:tr>
      <w:tr w:rsidR="00A610DB" w:rsidRPr="00890C54" w:rsidTr="005D3560">
        <w:trPr>
          <w:cantSplit/>
          <w:trHeight w:val="336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Ostali preparati koji se upotrebljavaju za ishranu životinja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5.779.553 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7.124.089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123,3 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Ulje palmino, ostalo i frakcije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6.188.154 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6.891.240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111,3 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Seme šećerne repe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8.328.747 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6.879.719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82,6 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Proizvodi za ishranu nepomenuti, ostali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6.686.987 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6.189.892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92,6 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Soja u zrnu, lomljena i drobljena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6.607.833 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5.822.384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88,1 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>Meso kokošaka bez kostiju, smrznuto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4.863.368 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5.273.306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108,4 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10000"/>
                <w:sz w:val="24"/>
                <w:szCs w:val="24"/>
              </w:rPr>
              <w:t xml:space="preserve">Kože goveđe krupne i sitne, cele sirove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3.739.733 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color w:val="000000"/>
                <w:sz w:val="24"/>
                <w:szCs w:val="24"/>
              </w:rPr>
              <w:t>4.631.093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5D3560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D35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123,8 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781D7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</w:t>
            </w:r>
            <w:r w:rsidRPr="0016697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</w:t>
            </w:r>
            <w:r w:rsidRPr="0016697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artikala u </w:t>
            </w:r>
            <w:r w:rsidR="00781D7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00000"/>
                <w:sz w:val="24"/>
                <w:szCs w:val="24"/>
              </w:rPr>
              <w:t>179.459.091 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00000"/>
                <w:sz w:val="24"/>
                <w:szCs w:val="24"/>
              </w:rPr>
              <w:t>219.057.238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122,1 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781D74">
            <w:pPr>
              <w:spacing w:after="0" w:line="240" w:lineRule="auto"/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  <w:t xml:space="preserve">% učešća 15 artikala u ukupnom </w:t>
            </w:r>
            <w:r w:rsidR="00781D74"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  <w:t>uvozu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10000"/>
                <w:sz w:val="24"/>
                <w:szCs w:val="24"/>
              </w:rPr>
              <w:t>45,3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10000"/>
                <w:sz w:val="24"/>
                <w:szCs w:val="24"/>
              </w:rPr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10000"/>
                <w:sz w:val="24"/>
                <w:szCs w:val="24"/>
              </w:rPr>
              <w:t>111,3</w:t>
            </w:r>
          </w:p>
        </w:tc>
      </w:tr>
      <w:tr w:rsidR="00A610DB" w:rsidRPr="00890C54" w:rsidTr="005D3560">
        <w:trPr>
          <w:cantSplit/>
          <w:trHeight w:val="324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bCs/>
                <w:color w:val="010000"/>
                <w:sz w:val="24"/>
                <w:szCs w:val="24"/>
              </w:rPr>
              <w:t>VREDNOST UVOZA AGRARNIH PROIZVODA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10000"/>
                <w:sz w:val="24"/>
                <w:szCs w:val="24"/>
              </w:rPr>
              <w:t>396.178.086  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bookmarkStart w:id="0" w:name="OLE_LINK23"/>
            <w:bookmarkStart w:id="1" w:name="OLE_LINK24"/>
            <w:bookmarkStart w:id="2" w:name="OLE_LINK25"/>
            <w:r w:rsidRPr="00166978">
              <w:rPr>
                <w:rFonts w:ascii="Arial Narrow" w:hAnsi="Arial Narrow"/>
                <w:b/>
                <w:color w:val="010000"/>
                <w:sz w:val="24"/>
                <w:szCs w:val="24"/>
              </w:rPr>
              <w:t>434.716.604 </w:t>
            </w:r>
            <w:bookmarkEnd w:id="0"/>
            <w:bookmarkEnd w:id="1"/>
            <w:bookmarkEnd w:id="2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0DB" w:rsidRPr="00166978" w:rsidRDefault="00A610DB" w:rsidP="00A610D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10000"/>
                <w:sz w:val="24"/>
                <w:szCs w:val="24"/>
              </w:rPr>
            </w:pPr>
            <w:r w:rsidRPr="00166978">
              <w:rPr>
                <w:rFonts w:ascii="Arial Narrow" w:hAnsi="Arial Narrow"/>
                <w:b/>
                <w:color w:val="010000"/>
                <w:sz w:val="24"/>
                <w:szCs w:val="24"/>
              </w:rPr>
              <w:t>109,7</w:t>
            </w:r>
          </w:p>
        </w:tc>
      </w:tr>
    </w:tbl>
    <w:p w:rsidR="00367F0B" w:rsidRDefault="00367F0B" w:rsidP="00367F0B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A610DB" w:rsidRDefault="00165EFD" w:rsidP="00166978">
      <w:pPr>
        <w:spacing w:after="0" w:line="240" w:lineRule="auto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ab/>
        <w:t>U izvozu, glavni spoljnotrgovinski partneri vojvođanskim privrednicima su zemlje Evropske unije i zemlje CEFTA regiona. U prvih de</w:t>
      </w:r>
      <w:r w:rsidR="00F72913">
        <w:rPr>
          <w:rFonts w:ascii="Arial Narrow" w:eastAsiaTheme="minorHAnsi" w:hAnsi="Arial Narrow"/>
          <w:sz w:val="26"/>
          <w:szCs w:val="26"/>
          <w:lang w:eastAsia="en-US"/>
        </w:rPr>
        <w:t xml:space="preserve">set 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meseci 2014.godine</w:t>
      </w:r>
      <w:r w:rsidR="0072586A">
        <w:rPr>
          <w:rFonts w:ascii="Arial Narrow" w:eastAsiaTheme="minorHAnsi" w:hAnsi="Arial Narrow"/>
          <w:sz w:val="26"/>
          <w:szCs w:val="26"/>
          <w:lang w:eastAsia="en-US"/>
        </w:rPr>
        <w:t>, 52,</w:t>
      </w:r>
      <w:r w:rsidR="00DC7384">
        <w:rPr>
          <w:rFonts w:ascii="Arial Narrow" w:eastAsiaTheme="minorHAnsi" w:hAnsi="Arial Narrow"/>
          <w:sz w:val="26"/>
          <w:szCs w:val="26"/>
          <w:lang w:eastAsia="en-US"/>
        </w:rPr>
        <w:t>5</w:t>
      </w:r>
      <w:r w:rsidR="0072586A">
        <w:rPr>
          <w:rFonts w:ascii="Arial Narrow" w:eastAsiaTheme="minorHAnsi" w:hAnsi="Arial Narrow"/>
          <w:sz w:val="26"/>
          <w:szCs w:val="26"/>
          <w:lang w:eastAsia="en-US"/>
        </w:rPr>
        <w:t>% agrarnih proizvoda realizovano je u zemlje EU</w:t>
      </w:r>
      <w:r w:rsidR="00A610DB">
        <w:rPr>
          <w:rFonts w:ascii="Arial Narrow" w:eastAsiaTheme="minorHAnsi" w:hAnsi="Arial Narrow"/>
          <w:sz w:val="26"/>
          <w:szCs w:val="26"/>
          <w:lang w:eastAsia="en-US"/>
        </w:rPr>
        <w:t>. U zemlje</w:t>
      </w:r>
      <w:r w:rsidR="0072586A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A610DB" w:rsidRPr="00A610DB">
        <w:rPr>
          <w:rFonts w:ascii="Arial Narrow" w:eastAsiaTheme="minorHAnsi" w:hAnsi="Arial Narrow"/>
          <w:sz w:val="26"/>
          <w:szCs w:val="26"/>
          <w:lang w:eastAsia="en-US"/>
        </w:rPr>
        <w:t xml:space="preserve">CEFTA regiona </w:t>
      </w:r>
      <w:r w:rsidR="00A610DB">
        <w:rPr>
          <w:rFonts w:ascii="Arial Narrow" w:eastAsiaTheme="minorHAnsi" w:hAnsi="Arial Narrow"/>
          <w:sz w:val="26"/>
          <w:szCs w:val="26"/>
          <w:lang w:eastAsia="en-US"/>
        </w:rPr>
        <w:t xml:space="preserve"> realizovano je </w:t>
      </w:r>
      <w:r w:rsidR="0072586A">
        <w:rPr>
          <w:rFonts w:ascii="Arial Narrow" w:eastAsiaTheme="minorHAnsi" w:hAnsi="Arial Narrow"/>
          <w:sz w:val="26"/>
          <w:szCs w:val="26"/>
          <w:lang w:eastAsia="en-US"/>
        </w:rPr>
        <w:t>37,</w:t>
      </w:r>
      <w:r w:rsidR="00DC7384">
        <w:rPr>
          <w:rFonts w:ascii="Arial Narrow" w:eastAsiaTheme="minorHAnsi" w:hAnsi="Arial Narrow"/>
          <w:sz w:val="26"/>
          <w:szCs w:val="26"/>
          <w:lang w:eastAsia="en-US"/>
        </w:rPr>
        <w:t>4</w:t>
      </w:r>
      <w:r w:rsidR="0072586A">
        <w:rPr>
          <w:rFonts w:ascii="Arial Narrow" w:eastAsiaTheme="minorHAnsi" w:hAnsi="Arial Narrow"/>
          <w:sz w:val="26"/>
          <w:szCs w:val="26"/>
          <w:lang w:eastAsia="en-US"/>
        </w:rPr>
        <w:t>%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A610DB">
        <w:rPr>
          <w:rFonts w:ascii="Arial Narrow" w:eastAsiaTheme="minorHAnsi" w:hAnsi="Arial Narrow"/>
          <w:sz w:val="26"/>
          <w:szCs w:val="26"/>
          <w:lang w:eastAsia="en-US"/>
        </w:rPr>
        <w:t>od ukupne vrednosti izvoza.</w:t>
      </w:r>
      <w:r w:rsidR="0072586A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A610DB">
        <w:rPr>
          <w:rFonts w:ascii="Arial Narrow" w:eastAsiaTheme="minorHAnsi" w:hAnsi="Arial Narrow"/>
          <w:sz w:val="26"/>
          <w:szCs w:val="26"/>
          <w:lang w:eastAsia="en-US"/>
        </w:rPr>
        <w:t>N</w:t>
      </w:r>
      <w:r w:rsidR="00A610DB" w:rsidRPr="00A610DB">
        <w:rPr>
          <w:rFonts w:ascii="Arial Narrow" w:eastAsiaTheme="minorHAnsi" w:hAnsi="Arial Narrow"/>
          <w:sz w:val="26"/>
          <w:szCs w:val="26"/>
          <w:lang w:eastAsia="en-US"/>
        </w:rPr>
        <w:t>a tržište Ruske Federacije</w:t>
      </w:r>
      <w:r w:rsidR="00A610DB">
        <w:rPr>
          <w:rFonts w:ascii="Arial Narrow" w:eastAsiaTheme="minorHAnsi" w:hAnsi="Arial Narrow"/>
          <w:sz w:val="26"/>
          <w:szCs w:val="26"/>
          <w:lang w:eastAsia="en-US"/>
        </w:rPr>
        <w:t xml:space="preserve"> izvezeno je </w:t>
      </w:r>
      <w:r w:rsidR="00AB133D">
        <w:rPr>
          <w:rFonts w:ascii="Arial Narrow" w:eastAsiaTheme="minorHAnsi" w:hAnsi="Arial Narrow"/>
          <w:sz w:val="26"/>
          <w:szCs w:val="26"/>
          <w:lang w:eastAsia="en-US"/>
        </w:rPr>
        <w:t>6,</w:t>
      </w:r>
      <w:r w:rsidR="00DC7384">
        <w:rPr>
          <w:rFonts w:ascii="Arial Narrow" w:eastAsiaTheme="minorHAnsi" w:hAnsi="Arial Narrow"/>
          <w:sz w:val="26"/>
          <w:szCs w:val="26"/>
          <w:lang w:eastAsia="en-US"/>
        </w:rPr>
        <w:t>7</w:t>
      </w:r>
      <w:r w:rsidR="00AB133D">
        <w:rPr>
          <w:rFonts w:ascii="Arial Narrow" w:eastAsiaTheme="minorHAnsi" w:hAnsi="Arial Narrow"/>
          <w:sz w:val="26"/>
          <w:szCs w:val="26"/>
          <w:lang w:eastAsia="en-US"/>
        </w:rPr>
        <w:t>%</w:t>
      </w:r>
      <w:r w:rsidR="00781D74">
        <w:rPr>
          <w:rFonts w:ascii="Arial Narrow" w:eastAsiaTheme="minorHAnsi" w:hAnsi="Arial Narrow"/>
          <w:sz w:val="26"/>
          <w:szCs w:val="26"/>
          <w:lang w:eastAsia="en-US"/>
        </w:rPr>
        <w:t>,</w:t>
      </w:r>
      <w:r w:rsidR="00AB133D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A52888">
        <w:rPr>
          <w:rFonts w:ascii="Arial Narrow" w:eastAsiaTheme="minorHAnsi" w:hAnsi="Arial Narrow"/>
          <w:sz w:val="26"/>
          <w:szCs w:val="26"/>
          <w:lang w:eastAsia="en-US"/>
        </w:rPr>
        <w:t xml:space="preserve">a </w:t>
      </w:r>
      <w:r w:rsidR="00AB133D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A52888">
        <w:rPr>
          <w:rFonts w:ascii="Arial Narrow" w:eastAsiaTheme="minorHAnsi" w:hAnsi="Arial Narrow"/>
          <w:sz w:val="26"/>
          <w:szCs w:val="26"/>
          <w:lang w:eastAsia="en-US"/>
        </w:rPr>
        <w:t xml:space="preserve">na ostala tržišta </w:t>
      </w:r>
      <w:r w:rsidR="00AB133D">
        <w:rPr>
          <w:rFonts w:ascii="Arial Narrow" w:eastAsiaTheme="minorHAnsi" w:hAnsi="Arial Narrow"/>
          <w:sz w:val="26"/>
          <w:szCs w:val="26"/>
          <w:lang w:eastAsia="en-US"/>
        </w:rPr>
        <w:t xml:space="preserve">3,4% </w:t>
      </w:r>
      <w:r w:rsidR="00A52888">
        <w:rPr>
          <w:rFonts w:ascii="Arial Narrow" w:eastAsiaTheme="minorHAnsi" w:hAnsi="Arial Narrow"/>
          <w:sz w:val="26"/>
          <w:szCs w:val="26"/>
          <w:lang w:eastAsia="en-US"/>
        </w:rPr>
        <w:t xml:space="preserve">od 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>ukupne vrednosti izvoza.</w:t>
      </w:r>
    </w:p>
    <w:p w:rsidR="00A52888" w:rsidRDefault="00A52888" w:rsidP="00A610D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AA6741" w:rsidRDefault="00AA6741" w:rsidP="00A610D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AA6741" w:rsidRDefault="00AA6741" w:rsidP="00A610D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367F0B" w:rsidRDefault="00AB133D" w:rsidP="00A610D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Najveći deo agrarnih proizvoda se uvozi iz zemalja EU 6</w:t>
      </w:r>
      <w:r w:rsidR="009229CB">
        <w:rPr>
          <w:rFonts w:ascii="Arial Narrow" w:eastAsiaTheme="minorHAnsi" w:hAnsi="Arial Narrow"/>
          <w:sz w:val="26"/>
          <w:szCs w:val="26"/>
          <w:lang w:eastAsia="en-US"/>
        </w:rPr>
        <w:t>4</w:t>
      </w:r>
      <w:r>
        <w:rPr>
          <w:rFonts w:ascii="Arial Narrow" w:eastAsiaTheme="minorHAnsi" w:hAnsi="Arial Narrow"/>
          <w:sz w:val="26"/>
          <w:szCs w:val="26"/>
          <w:lang w:eastAsia="en-US"/>
        </w:rPr>
        <w:t>%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. 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Iz </w:t>
      </w:r>
      <w:r>
        <w:rPr>
          <w:rFonts w:ascii="Arial Narrow" w:eastAsiaTheme="minorHAnsi" w:hAnsi="Arial Narrow"/>
          <w:sz w:val="26"/>
          <w:szCs w:val="26"/>
          <w:lang w:eastAsia="en-US"/>
        </w:rPr>
        <w:t>zemalja CEFTA regiona</w:t>
      </w:r>
      <w:r w:rsidR="00C07CD1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uvezeno je </w:t>
      </w:r>
      <w:r w:rsidR="00C07CD1">
        <w:rPr>
          <w:rFonts w:ascii="Arial Narrow" w:eastAsiaTheme="minorHAnsi" w:hAnsi="Arial Narrow"/>
          <w:sz w:val="26"/>
          <w:szCs w:val="26"/>
          <w:lang w:eastAsia="en-US"/>
        </w:rPr>
        <w:t>6,</w:t>
      </w:r>
      <w:r w:rsidR="009229CB">
        <w:rPr>
          <w:rFonts w:ascii="Arial Narrow" w:eastAsiaTheme="minorHAnsi" w:hAnsi="Arial Narrow"/>
          <w:sz w:val="26"/>
          <w:szCs w:val="26"/>
          <w:lang w:eastAsia="en-US"/>
        </w:rPr>
        <w:t>9</w:t>
      </w:r>
      <w:r w:rsidR="00C07CD1">
        <w:rPr>
          <w:rFonts w:ascii="Arial Narrow" w:eastAsiaTheme="minorHAnsi" w:hAnsi="Arial Narrow"/>
          <w:sz w:val="26"/>
          <w:szCs w:val="26"/>
          <w:lang w:eastAsia="en-US"/>
        </w:rPr>
        <w:t>%</w:t>
      </w:r>
      <w:r w:rsidR="00BE182F" w:rsidRPr="00BE182F">
        <w:t xml:space="preserve"> </w:t>
      </w:r>
      <w:r w:rsidR="00BE182F" w:rsidRPr="00BE182F">
        <w:rPr>
          <w:rFonts w:ascii="Arial Narrow" w:eastAsiaTheme="minorHAnsi" w:hAnsi="Arial Narrow"/>
          <w:sz w:val="26"/>
          <w:szCs w:val="26"/>
          <w:lang w:eastAsia="en-US"/>
        </w:rPr>
        <w:t>od ukupne vrednosti uvoza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>.</w:t>
      </w:r>
      <w:r w:rsidR="00C07CD1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Sa tržišta </w:t>
      </w:r>
      <w:r w:rsidR="00C07CD1">
        <w:rPr>
          <w:rFonts w:ascii="Arial Narrow" w:eastAsiaTheme="minorHAnsi" w:hAnsi="Arial Narrow"/>
          <w:sz w:val="26"/>
          <w:szCs w:val="26"/>
          <w:lang w:eastAsia="en-US"/>
        </w:rPr>
        <w:t>Ruske F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ederacije 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uvezeno </w:t>
      </w:r>
      <w:r>
        <w:rPr>
          <w:rFonts w:ascii="Arial Narrow" w:eastAsiaTheme="minorHAnsi" w:hAnsi="Arial Narrow"/>
          <w:sz w:val="26"/>
          <w:szCs w:val="26"/>
          <w:lang w:eastAsia="en-US"/>
        </w:rPr>
        <w:t>3,</w:t>
      </w:r>
      <w:r w:rsidR="009229CB">
        <w:rPr>
          <w:rFonts w:ascii="Arial Narrow" w:eastAsiaTheme="minorHAnsi" w:hAnsi="Arial Narrow"/>
          <w:sz w:val="26"/>
          <w:szCs w:val="26"/>
          <w:lang w:eastAsia="en-US"/>
        </w:rPr>
        <w:t>4</w:t>
      </w:r>
      <w:r>
        <w:rPr>
          <w:rFonts w:ascii="Arial Narrow" w:eastAsiaTheme="minorHAnsi" w:hAnsi="Arial Narrow"/>
          <w:sz w:val="26"/>
          <w:szCs w:val="26"/>
          <w:lang w:eastAsia="en-US"/>
        </w:rPr>
        <w:t>%</w:t>
      </w:r>
      <w:r w:rsidR="00F30F97" w:rsidRPr="00F30F97">
        <w:t xml:space="preserve"> </w:t>
      </w:r>
      <w:bookmarkStart w:id="3" w:name="OLE_LINK33"/>
      <w:bookmarkStart w:id="4" w:name="OLE_LINK34"/>
      <w:bookmarkStart w:id="5" w:name="OLE_LINK35"/>
      <w:r w:rsidR="00F30F97" w:rsidRPr="00F30F97">
        <w:rPr>
          <w:rFonts w:ascii="Arial Narrow" w:eastAsiaTheme="minorHAnsi" w:hAnsi="Arial Narrow"/>
          <w:sz w:val="26"/>
          <w:szCs w:val="26"/>
          <w:lang w:eastAsia="en-US"/>
        </w:rPr>
        <w:t>od ukupne vrednosti uvoza</w:t>
      </w:r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  <w:bookmarkEnd w:id="3"/>
      <w:bookmarkEnd w:id="4"/>
      <w:bookmarkEnd w:id="5"/>
      <w:r w:rsidR="00F30F97">
        <w:rPr>
          <w:rFonts w:ascii="Arial Narrow" w:eastAsiaTheme="minorHAnsi" w:hAnsi="Arial Narrow"/>
          <w:sz w:val="26"/>
          <w:szCs w:val="26"/>
          <w:lang w:eastAsia="en-US"/>
        </w:rPr>
        <w:t xml:space="preserve">a </w:t>
      </w:r>
      <w:r>
        <w:rPr>
          <w:rFonts w:ascii="Arial Narrow" w:eastAsiaTheme="minorHAnsi" w:hAnsi="Arial Narrow"/>
          <w:sz w:val="26"/>
          <w:szCs w:val="26"/>
          <w:lang w:eastAsia="en-US"/>
        </w:rPr>
        <w:t>sa ostalih tržišta 2</w:t>
      </w:r>
      <w:r w:rsidR="009229CB">
        <w:rPr>
          <w:rFonts w:ascii="Arial Narrow" w:eastAsiaTheme="minorHAnsi" w:hAnsi="Arial Narrow"/>
          <w:sz w:val="26"/>
          <w:szCs w:val="26"/>
          <w:lang w:eastAsia="en-US"/>
        </w:rPr>
        <w:t>5</w:t>
      </w:r>
      <w:r>
        <w:rPr>
          <w:rFonts w:ascii="Arial Narrow" w:eastAsiaTheme="minorHAnsi" w:hAnsi="Arial Narrow"/>
          <w:sz w:val="26"/>
          <w:szCs w:val="26"/>
          <w:lang w:eastAsia="en-US"/>
        </w:rPr>
        <w:t>,</w:t>
      </w:r>
      <w:r w:rsidR="009229CB">
        <w:rPr>
          <w:rFonts w:ascii="Arial Narrow" w:eastAsiaTheme="minorHAnsi" w:hAnsi="Arial Narrow"/>
          <w:sz w:val="26"/>
          <w:szCs w:val="26"/>
          <w:lang w:eastAsia="en-US"/>
        </w:rPr>
        <w:t>7</w:t>
      </w:r>
      <w:r>
        <w:rPr>
          <w:rFonts w:ascii="Arial Narrow" w:eastAsiaTheme="minorHAnsi" w:hAnsi="Arial Narrow"/>
          <w:sz w:val="26"/>
          <w:szCs w:val="26"/>
          <w:lang w:eastAsia="en-US"/>
        </w:rPr>
        <w:t>%</w:t>
      </w:r>
      <w:r w:rsidR="00261EBB">
        <w:rPr>
          <w:rFonts w:ascii="Arial Narrow" w:eastAsiaTheme="minorHAnsi" w:hAnsi="Arial Narrow"/>
          <w:sz w:val="26"/>
          <w:szCs w:val="26"/>
          <w:lang w:eastAsia="en-US"/>
        </w:rPr>
        <w:t xml:space="preserve"> (tabela 4)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. </w:t>
      </w:r>
    </w:p>
    <w:p w:rsidR="00C50281" w:rsidRDefault="00C50281" w:rsidP="00A610DB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A610DB" w:rsidRPr="000A42EA" w:rsidRDefault="00BE182F" w:rsidP="00A610DB">
      <w:pPr>
        <w:spacing w:after="0" w:line="240" w:lineRule="auto"/>
        <w:ind w:firstLine="708"/>
        <w:jc w:val="both"/>
        <w:rPr>
          <w:rFonts w:ascii="Arial Narrow" w:eastAsiaTheme="minorHAnsi" w:hAnsi="Arial Narrow"/>
          <w:lang w:eastAsia="en-US"/>
        </w:rPr>
      </w:pPr>
      <w:r w:rsidRPr="000A42EA"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          </w:t>
      </w:r>
      <w:r w:rsidR="000A42EA"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     </w:t>
      </w:r>
      <w:r w:rsidR="000A42EA" w:rsidRPr="000A42EA">
        <w:rPr>
          <w:rFonts w:ascii="Arial Narrow" w:eastAsiaTheme="minorHAnsi" w:hAnsi="Arial Narrow"/>
          <w:lang w:eastAsia="en-US"/>
        </w:rPr>
        <w:t xml:space="preserve">Tabela 4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104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659"/>
        <w:gridCol w:w="860"/>
        <w:gridCol w:w="1911"/>
        <w:gridCol w:w="992"/>
        <w:gridCol w:w="2056"/>
      </w:tblGrid>
      <w:tr w:rsidR="000A42EA" w:rsidRPr="00367F0B" w:rsidTr="00C50281">
        <w:trPr>
          <w:trHeight w:val="275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bookmarkStart w:id="6" w:name="OLE_LINK1"/>
            <w:bookmarkStart w:id="7" w:name="OLE_LINK2"/>
            <w:bookmarkStart w:id="8" w:name="OLE_LINK3"/>
            <w:bookmarkStart w:id="9" w:name="OLE_LINK31"/>
            <w:bookmarkStart w:id="10" w:name="OLE_LINK32"/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Pregled izvoza i uvoza  agrarnih proizvoda po zemljama EU, CEFTE i RF                                                                                                  i učešće u ukupno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 xml:space="preserve">m izvozu i uvozu AP Vojvodine za period I-X </w:t>
            </w: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2014.g.</w:t>
            </w:r>
          </w:p>
        </w:tc>
      </w:tr>
      <w:tr w:rsidR="000A42EA" w:rsidRPr="00367F0B" w:rsidTr="001E363B">
        <w:trPr>
          <w:trHeight w:val="456"/>
        </w:trPr>
        <w:tc>
          <w:tcPr>
            <w:tcW w:w="23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Naziv tržišta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1E36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Izvoz u USD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%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1E36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Uvoz u USD.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%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A42EA" w:rsidRPr="00367F0B" w:rsidRDefault="000A42EA" w:rsidP="001E36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Bilans</w:t>
            </w:r>
          </w:p>
          <w:p w:rsidR="000A42EA" w:rsidRPr="00367F0B" w:rsidRDefault="000A42EA" w:rsidP="001E363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X 2014.</w:t>
            </w:r>
          </w:p>
        </w:tc>
      </w:tr>
      <w:tr w:rsidR="000A42EA" w:rsidRPr="00367F0B" w:rsidTr="001E363B">
        <w:trPr>
          <w:trHeight w:val="498"/>
        </w:trPr>
        <w:tc>
          <w:tcPr>
            <w:tcW w:w="23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učešća</w:t>
            </w:r>
          </w:p>
        </w:tc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učešća</w:t>
            </w:r>
          </w:p>
        </w:tc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A42EA" w:rsidRPr="00367F0B" w:rsidTr="001E363B">
        <w:trPr>
          <w:trHeight w:val="534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A42EA" w:rsidRPr="000A42EA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bookmarkStart w:id="11" w:name="_Hlk405287225"/>
            <w:r w:rsidRPr="000A42EA"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  <w:t>Tržište EU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F72913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654.544.278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52,5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002426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278.278.261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64,0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  <w:t>376.266.017</w:t>
            </w:r>
          </w:p>
        </w:tc>
      </w:tr>
      <w:tr w:rsidR="000A42EA" w:rsidRPr="00367F0B" w:rsidTr="001E363B">
        <w:trPr>
          <w:trHeight w:val="596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A42EA" w:rsidRPr="000A42EA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0A42EA"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  <w:t>Tržište CEFTA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F72913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466.216.158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37,4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CA3675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29.826.117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6,9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  <w:t>436.390.041</w:t>
            </w:r>
          </w:p>
        </w:tc>
      </w:tr>
      <w:tr w:rsidR="000A42EA" w:rsidRPr="00367F0B" w:rsidTr="001E363B">
        <w:trPr>
          <w:trHeight w:val="529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0A42EA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0A42EA"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  <w:t>Tržište Ruske federac.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F72913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83.233.875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6,7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CA3675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14.951.868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3,4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  <w:t>68.282.007</w:t>
            </w:r>
          </w:p>
        </w:tc>
      </w:tr>
      <w:tr w:rsidR="000A42EA" w:rsidRPr="00367F0B" w:rsidTr="001E363B">
        <w:trPr>
          <w:trHeight w:val="747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0A42EA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0A42EA">
              <w:rPr>
                <w:rFonts w:ascii="Arial Narrow" w:hAnsi="Arial Narrow" w:cs="Arial"/>
                <w:b/>
                <w:i/>
                <w:iCs/>
                <w:color w:val="000000"/>
                <w:sz w:val="24"/>
                <w:szCs w:val="24"/>
                <w:lang w:val="sr-Latn-CS" w:eastAsia="sr-Latn-CS"/>
              </w:rPr>
              <w:t>ostale zemlje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8A72F4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41.753.399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3,4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111.660.358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CS" w:eastAsia="sr-Latn-CS"/>
              </w:rPr>
              <w:t>25,7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  <w:t>-69.906.959</w:t>
            </w:r>
          </w:p>
        </w:tc>
      </w:tr>
      <w:tr w:rsidR="000A42EA" w:rsidRPr="00933B6F" w:rsidTr="001E363B">
        <w:trPr>
          <w:trHeight w:val="950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Ukupan izvoz/</w:t>
            </w: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uvoz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F2236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1.245.747.710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100,0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bookmarkStart w:id="12" w:name="OLE_LINK26"/>
            <w:bookmarkStart w:id="13" w:name="OLE_LINK27"/>
            <w:bookmarkStart w:id="14" w:name="OLE_LINK28"/>
            <w:r w:rsidRPr="00D4289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434.716.604</w:t>
            </w:r>
            <w:bookmarkEnd w:id="12"/>
            <w:bookmarkEnd w:id="13"/>
            <w:bookmarkEnd w:id="14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A42EA" w:rsidRPr="00367F0B" w:rsidRDefault="000A42EA" w:rsidP="000A42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sr-Latn-CS" w:eastAsia="sr-Latn-CS"/>
              </w:rPr>
              <w:t>100,0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A42EA" w:rsidRPr="00933B6F" w:rsidRDefault="000A42EA" w:rsidP="000A42EA">
            <w:pPr>
              <w:spacing w:after="0" w:line="240" w:lineRule="auto"/>
              <w:jc w:val="right"/>
              <w:rPr>
                <w:rFonts w:ascii="Arial Narrow" w:eastAsiaTheme="minorHAnsi" w:hAnsi="Arial Narrow" w:cstheme="minorBidi"/>
                <w:b/>
                <w:color w:val="000000"/>
                <w:sz w:val="24"/>
                <w:szCs w:val="24"/>
                <w:lang w:eastAsia="en-US"/>
              </w:rPr>
            </w:pPr>
            <w:r w:rsidRPr="00933B6F">
              <w:rPr>
                <w:rFonts w:ascii="Arial Narrow" w:eastAsiaTheme="minorHAnsi" w:hAnsi="Arial Narrow" w:cstheme="minorBidi"/>
                <w:b/>
                <w:color w:val="000000"/>
                <w:sz w:val="24"/>
                <w:szCs w:val="24"/>
                <w:lang w:eastAsia="en-US"/>
              </w:rPr>
              <w:t>811.031.106</w:t>
            </w:r>
          </w:p>
        </w:tc>
      </w:tr>
      <w:bookmarkEnd w:id="6"/>
      <w:bookmarkEnd w:id="7"/>
      <w:bookmarkEnd w:id="8"/>
      <w:bookmarkEnd w:id="9"/>
      <w:bookmarkEnd w:id="10"/>
      <w:bookmarkEnd w:id="11"/>
    </w:tbl>
    <w:p w:rsidR="001952F8" w:rsidRDefault="001952F8" w:rsidP="00367F0B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5352FE" w:rsidRDefault="005352FE" w:rsidP="00D913C9">
      <w:pPr>
        <w:spacing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0A42EA" w:rsidRDefault="001952F8" w:rsidP="00D913C9">
      <w:pPr>
        <w:spacing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 w:rsidRPr="001952F8">
        <w:rPr>
          <w:rFonts w:ascii="Arial Narrow" w:eastAsiaTheme="minorHAnsi" w:hAnsi="Arial Narrow"/>
          <w:sz w:val="26"/>
          <w:szCs w:val="26"/>
          <w:lang w:eastAsia="en-US"/>
        </w:rPr>
        <w:t>U prvih de</w:t>
      </w:r>
      <w:r w:rsidR="005D56A1">
        <w:rPr>
          <w:rFonts w:ascii="Arial Narrow" w:eastAsiaTheme="minorHAnsi" w:hAnsi="Arial Narrow"/>
          <w:sz w:val="26"/>
          <w:szCs w:val="26"/>
          <w:lang w:eastAsia="en-US"/>
        </w:rPr>
        <w:t>set</w:t>
      </w:r>
      <w:r w:rsidRPr="001952F8">
        <w:rPr>
          <w:rFonts w:ascii="Arial Narrow" w:eastAsiaTheme="minorHAnsi" w:hAnsi="Arial Narrow"/>
          <w:sz w:val="26"/>
          <w:szCs w:val="26"/>
          <w:lang w:eastAsia="en-US"/>
        </w:rPr>
        <w:t xml:space="preserve"> meseci 2014.godine, na tržištu EU, vojvođanski privrednici su izvezli agrarnih proizvoda u vrednosti </w:t>
      </w:r>
      <w:r w:rsidR="004C42C6">
        <w:rPr>
          <w:rFonts w:ascii="Arial Narrow" w:eastAsiaTheme="minorHAnsi" w:hAnsi="Arial Narrow"/>
          <w:sz w:val="26"/>
          <w:szCs w:val="26"/>
          <w:lang w:eastAsia="en-US"/>
        </w:rPr>
        <w:t>654,5</w:t>
      </w:r>
      <w:r w:rsidR="00A75274">
        <w:rPr>
          <w:rFonts w:ascii="Arial Narrow" w:eastAsiaTheme="minorHAnsi" w:hAnsi="Arial Narrow"/>
          <w:sz w:val="26"/>
          <w:szCs w:val="26"/>
          <w:lang w:eastAsia="en-US"/>
        </w:rPr>
        <w:t xml:space="preserve"> mil.</w:t>
      </w:r>
      <w:r w:rsidR="00472A5A">
        <w:rPr>
          <w:rFonts w:ascii="Arial Narrow" w:eastAsiaTheme="minorHAnsi" w:hAnsi="Arial Narrow"/>
          <w:sz w:val="26"/>
          <w:szCs w:val="26"/>
          <w:lang w:eastAsia="en-US"/>
        </w:rPr>
        <w:t xml:space="preserve"> USD, što je na istom nivou kao i u 2013.godini za period I-X. </w:t>
      </w:r>
    </w:p>
    <w:p w:rsidR="000A42EA" w:rsidRDefault="00A75274" w:rsidP="00D913C9">
      <w:pPr>
        <w:spacing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Sa tržišta</w:t>
      </w:r>
      <w:r w:rsidR="000A42EA">
        <w:rPr>
          <w:rFonts w:ascii="Arial Narrow" w:eastAsiaTheme="minorHAnsi" w:hAnsi="Arial Narrow"/>
          <w:sz w:val="26"/>
          <w:szCs w:val="26"/>
          <w:lang w:eastAsia="en-US"/>
        </w:rPr>
        <w:t xml:space="preserve"> EU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uve</w:t>
      </w:r>
      <w:r w:rsidR="000A42EA">
        <w:rPr>
          <w:rFonts w:ascii="Arial Narrow" w:eastAsiaTheme="minorHAnsi" w:hAnsi="Arial Narrow"/>
          <w:sz w:val="26"/>
          <w:szCs w:val="26"/>
          <w:lang w:eastAsia="en-US"/>
        </w:rPr>
        <w:t>z</w:t>
      </w:r>
      <w:r>
        <w:rPr>
          <w:rFonts w:ascii="Arial Narrow" w:eastAsiaTheme="minorHAnsi" w:hAnsi="Arial Narrow"/>
          <w:sz w:val="26"/>
          <w:szCs w:val="26"/>
          <w:lang w:eastAsia="en-US"/>
        </w:rPr>
        <w:t>eno je poljoprivredno-prehrambenih proizvoda u vrednosti od 2</w:t>
      </w:r>
      <w:r w:rsidR="00472A5A">
        <w:rPr>
          <w:rFonts w:ascii="Arial Narrow" w:eastAsiaTheme="minorHAnsi" w:hAnsi="Arial Narrow"/>
          <w:sz w:val="26"/>
          <w:szCs w:val="26"/>
          <w:lang w:eastAsia="en-US"/>
        </w:rPr>
        <w:t>78</w:t>
      </w:r>
      <w:r>
        <w:rPr>
          <w:rFonts w:ascii="Arial Narrow" w:eastAsiaTheme="minorHAnsi" w:hAnsi="Arial Narrow"/>
          <w:sz w:val="26"/>
          <w:szCs w:val="26"/>
          <w:lang w:eastAsia="en-US"/>
        </w:rPr>
        <w:t>,3 mil.USD (rast 1</w:t>
      </w:r>
      <w:r w:rsidR="00472A5A">
        <w:rPr>
          <w:rFonts w:ascii="Arial Narrow" w:eastAsiaTheme="minorHAnsi" w:hAnsi="Arial Narrow"/>
          <w:sz w:val="26"/>
          <w:szCs w:val="26"/>
          <w:lang w:eastAsia="en-US"/>
        </w:rPr>
        <w:t>2</w:t>
      </w:r>
      <w:r>
        <w:rPr>
          <w:rFonts w:ascii="Arial Narrow" w:eastAsiaTheme="minorHAnsi" w:hAnsi="Arial Narrow"/>
          <w:sz w:val="26"/>
          <w:szCs w:val="26"/>
          <w:lang w:eastAsia="en-US"/>
        </w:rPr>
        <w:t>,</w:t>
      </w:r>
      <w:r w:rsidR="00472A5A">
        <w:rPr>
          <w:rFonts w:ascii="Arial Narrow" w:eastAsiaTheme="minorHAnsi" w:hAnsi="Arial Narrow"/>
          <w:sz w:val="26"/>
          <w:szCs w:val="26"/>
          <w:lang w:eastAsia="en-US"/>
        </w:rPr>
        <w:t>6</w:t>
      </w:r>
      <w:r>
        <w:rPr>
          <w:rFonts w:ascii="Arial Narrow" w:eastAsiaTheme="minorHAnsi" w:hAnsi="Arial Narrow"/>
          <w:sz w:val="26"/>
          <w:szCs w:val="26"/>
          <w:lang w:eastAsia="en-US"/>
        </w:rPr>
        <w:t>%)</w:t>
      </w:r>
      <w:r w:rsidR="00B420D4">
        <w:rPr>
          <w:rFonts w:ascii="Arial Narrow" w:eastAsiaTheme="minorHAnsi" w:hAnsi="Arial Narrow"/>
          <w:sz w:val="26"/>
          <w:szCs w:val="26"/>
          <w:lang w:eastAsia="en-US"/>
        </w:rPr>
        <w:t xml:space="preserve">. </w:t>
      </w:r>
    </w:p>
    <w:p w:rsidR="001952F8" w:rsidRDefault="00B420D4" w:rsidP="00D913C9">
      <w:pPr>
        <w:spacing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>Na ovom tržištu za de</w:t>
      </w:r>
      <w:r w:rsidR="00472A5A">
        <w:rPr>
          <w:rFonts w:ascii="Arial Narrow" w:eastAsiaTheme="minorHAnsi" w:hAnsi="Arial Narrow"/>
          <w:sz w:val="26"/>
          <w:szCs w:val="26"/>
          <w:lang w:eastAsia="en-US"/>
        </w:rPr>
        <w:t>set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meseci 2014.godine, region AP Vojvodine ostvario je suficit u spoljnotrgovinskoj razmeni agrarnih proizvoda u iznosu od 3</w:t>
      </w:r>
      <w:r w:rsidR="006173EE">
        <w:rPr>
          <w:rFonts w:ascii="Arial Narrow" w:eastAsiaTheme="minorHAnsi" w:hAnsi="Arial Narrow"/>
          <w:sz w:val="26"/>
          <w:szCs w:val="26"/>
          <w:lang w:eastAsia="en-US"/>
        </w:rPr>
        <w:t>76,3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mil.USD</w:t>
      </w:r>
      <w:r w:rsidR="00D913C9">
        <w:rPr>
          <w:rFonts w:ascii="Arial Narrow" w:eastAsiaTheme="minorHAnsi" w:hAnsi="Arial Narrow"/>
          <w:sz w:val="26"/>
          <w:szCs w:val="26"/>
          <w:lang w:eastAsia="en-US"/>
        </w:rPr>
        <w:t>.</w:t>
      </w:r>
    </w:p>
    <w:p w:rsidR="000A42EA" w:rsidRDefault="00A87B47" w:rsidP="00D913C9">
      <w:pPr>
        <w:spacing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 xml:space="preserve">Na tržište CEFTA regiona vojvođanski privrednici su izvezli agrarnih proizvoda u vrednosti od </w:t>
      </w:r>
      <w:r w:rsidR="00813FB7">
        <w:rPr>
          <w:rFonts w:ascii="Arial Narrow" w:eastAsiaTheme="minorHAnsi" w:hAnsi="Arial Narrow"/>
          <w:sz w:val="26"/>
          <w:szCs w:val="26"/>
          <w:lang w:eastAsia="en-US"/>
        </w:rPr>
        <w:t>4</w:t>
      </w:r>
      <w:r w:rsidR="0039738D">
        <w:rPr>
          <w:rFonts w:ascii="Arial Narrow" w:eastAsiaTheme="minorHAnsi" w:hAnsi="Arial Narrow"/>
          <w:sz w:val="26"/>
          <w:szCs w:val="26"/>
          <w:lang w:eastAsia="en-US"/>
        </w:rPr>
        <w:t>66,2</w:t>
      </w:r>
      <w:r w:rsidR="00813FB7">
        <w:rPr>
          <w:rFonts w:ascii="Arial Narrow" w:eastAsiaTheme="minorHAnsi" w:hAnsi="Arial Narrow"/>
          <w:sz w:val="26"/>
          <w:szCs w:val="26"/>
          <w:lang w:eastAsia="en-US"/>
        </w:rPr>
        <w:t xml:space="preserve"> mil.USD, što je povećanje od </w:t>
      </w:r>
      <w:r w:rsidR="0039738D">
        <w:rPr>
          <w:rFonts w:ascii="Arial Narrow" w:eastAsiaTheme="minorHAnsi" w:hAnsi="Arial Narrow"/>
          <w:sz w:val="26"/>
          <w:szCs w:val="26"/>
          <w:lang w:eastAsia="en-US"/>
        </w:rPr>
        <w:t>8</w:t>
      </w:r>
      <w:r w:rsidR="00813FB7">
        <w:rPr>
          <w:rFonts w:ascii="Arial Narrow" w:eastAsiaTheme="minorHAnsi" w:hAnsi="Arial Narrow"/>
          <w:sz w:val="26"/>
          <w:szCs w:val="26"/>
          <w:lang w:eastAsia="en-US"/>
        </w:rPr>
        <w:t>,3%u odn</w:t>
      </w:r>
      <w:r w:rsidR="007B4CC3">
        <w:rPr>
          <w:rFonts w:ascii="Arial Narrow" w:eastAsiaTheme="minorHAnsi" w:hAnsi="Arial Narrow"/>
          <w:sz w:val="26"/>
          <w:szCs w:val="26"/>
          <w:lang w:eastAsia="en-US"/>
        </w:rPr>
        <w:t>o</w:t>
      </w:r>
      <w:r w:rsidR="00813FB7">
        <w:rPr>
          <w:rFonts w:ascii="Arial Narrow" w:eastAsiaTheme="minorHAnsi" w:hAnsi="Arial Narrow"/>
          <w:sz w:val="26"/>
          <w:szCs w:val="26"/>
          <w:lang w:eastAsia="en-US"/>
        </w:rPr>
        <w:t xml:space="preserve">su na ostvaren izvoz u istom periodu prošle godine. </w:t>
      </w:r>
    </w:p>
    <w:p w:rsidR="00D913C9" w:rsidRDefault="00E4708D" w:rsidP="00D913C9">
      <w:pPr>
        <w:spacing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 xml:space="preserve">U spoljnotrgovinskoj razmeni sa zemljama CEFTA regiona, ostvaren je suficit u iznosu od </w:t>
      </w:r>
      <w:r w:rsidR="0039738D">
        <w:rPr>
          <w:rFonts w:ascii="Arial Narrow" w:eastAsiaTheme="minorHAnsi" w:hAnsi="Arial Narrow"/>
          <w:sz w:val="26"/>
          <w:szCs w:val="26"/>
          <w:lang w:eastAsia="en-US"/>
        </w:rPr>
        <w:t>436,4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 mil.USD</w:t>
      </w:r>
      <w:r w:rsidR="007B4CC3">
        <w:rPr>
          <w:rFonts w:ascii="Arial Narrow" w:eastAsiaTheme="minorHAnsi" w:hAnsi="Arial Narrow"/>
          <w:sz w:val="26"/>
          <w:szCs w:val="26"/>
          <w:lang w:eastAsia="en-US"/>
        </w:rPr>
        <w:t>.</w:t>
      </w:r>
    </w:p>
    <w:p w:rsidR="00DD486A" w:rsidRDefault="00DD486A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 w:rsidRPr="00F13C23">
        <w:rPr>
          <w:rFonts w:ascii="Arial Narrow" w:eastAsiaTheme="minorHAnsi" w:hAnsi="Arial Narrow"/>
          <w:sz w:val="26"/>
          <w:szCs w:val="26"/>
          <w:lang w:eastAsia="en-US"/>
        </w:rPr>
        <w:t xml:space="preserve">Na tržište </w:t>
      </w:r>
      <w:r>
        <w:rPr>
          <w:rFonts w:ascii="Arial Narrow" w:eastAsiaTheme="minorHAnsi" w:hAnsi="Arial Narrow"/>
          <w:sz w:val="26"/>
          <w:szCs w:val="26"/>
          <w:lang w:eastAsia="en-US"/>
        </w:rPr>
        <w:t xml:space="preserve">Ruske Federacije, realizovan je izvoz agrarnih proizvoda u vrednosti od 83,2 mil.USD. U odnosu na isti period prošle godine izvoz je dva puta veći i to zbog povećanog izvoza polutki od domaćih svinja. </w:t>
      </w: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C50281" w:rsidRDefault="00C50281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0A42EA" w:rsidRDefault="000A42EA" w:rsidP="00DD486A">
      <w:pPr>
        <w:spacing w:after="0" w:line="240" w:lineRule="auto"/>
        <w:ind w:firstLine="708"/>
        <w:jc w:val="both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964A14" w:rsidRDefault="00964A14" w:rsidP="00964A14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  <w:r w:rsidRPr="00964A14">
        <w:rPr>
          <w:rFonts w:ascii="Arial Narrow" w:eastAsiaTheme="minorHAnsi" w:hAnsi="Arial Narrow"/>
          <w:b/>
          <w:sz w:val="26"/>
          <w:szCs w:val="26"/>
          <w:lang w:eastAsia="en-US"/>
        </w:rPr>
        <w:t xml:space="preserve">Vrednost izvoza i uvoza </w:t>
      </w:r>
      <w:r w:rsidR="00A5607C">
        <w:rPr>
          <w:rFonts w:ascii="Arial Narrow" w:eastAsiaTheme="minorHAnsi" w:hAnsi="Arial Narrow"/>
          <w:b/>
          <w:sz w:val="26"/>
          <w:szCs w:val="26"/>
          <w:lang w:eastAsia="en-US"/>
        </w:rPr>
        <w:t xml:space="preserve"> </w:t>
      </w:r>
      <w:r w:rsidRPr="00964A14">
        <w:rPr>
          <w:rFonts w:ascii="Arial Narrow" w:eastAsiaTheme="minorHAnsi" w:hAnsi="Arial Narrow"/>
          <w:b/>
          <w:sz w:val="26"/>
          <w:szCs w:val="26"/>
          <w:lang w:eastAsia="en-US"/>
        </w:rPr>
        <w:t>agrarnih proizvoda iz AP Vojvodine</w:t>
      </w:r>
    </w:p>
    <w:p w:rsidR="00C50281" w:rsidRDefault="00C50281" w:rsidP="00964A14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2856D5" w:rsidRPr="002856D5" w:rsidRDefault="002856D5" w:rsidP="004A4B41">
      <w:pPr>
        <w:spacing w:after="0" w:line="240" w:lineRule="auto"/>
        <w:ind w:firstLine="708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 xml:space="preserve">                                                        </w:t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>
        <w:rPr>
          <w:rFonts w:ascii="Arial Narrow" w:eastAsiaTheme="minorHAnsi" w:hAnsi="Arial Narrow"/>
          <w:sz w:val="26"/>
          <w:szCs w:val="26"/>
          <w:lang w:eastAsia="en-US"/>
        </w:rPr>
        <w:tab/>
      </w:r>
      <w:r w:rsidR="00C50281">
        <w:rPr>
          <w:rFonts w:ascii="Arial Narrow" w:eastAsiaTheme="minorHAnsi" w:hAnsi="Arial Narrow"/>
          <w:sz w:val="26"/>
          <w:szCs w:val="26"/>
          <w:lang w:eastAsia="en-US"/>
        </w:rPr>
        <w:t xml:space="preserve">      </w:t>
      </w:r>
      <w:r w:rsidRPr="002856D5">
        <w:rPr>
          <w:rFonts w:ascii="Arial Narrow" w:eastAsiaTheme="minorHAnsi" w:hAnsi="Arial Narrow"/>
          <w:lang w:eastAsia="en-US"/>
        </w:rPr>
        <w:t>Tabela 5.</w:t>
      </w:r>
      <w:r w:rsidRPr="002856D5">
        <w:rPr>
          <w:rFonts w:ascii="Arial Narrow" w:eastAsiaTheme="minorHAnsi" w:hAnsi="Arial Narrow"/>
          <w:lang w:eastAsia="en-US"/>
        </w:rPr>
        <w:tab/>
      </w:r>
    </w:p>
    <w:tbl>
      <w:tblPr>
        <w:tblpPr w:leftFromText="180" w:rightFromText="180" w:vertAnchor="text" w:horzAnchor="margin" w:tblpXSpec="center" w:tblpY="99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1877"/>
        <w:gridCol w:w="1843"/>
        <w:gridCol w:w="1984"/>
      </w:tblGrid>
      <w:tr w:rsidR="002856D5" w:rsidRPr="00367F0B" w:rsidTr="009A5E96">
        <w:trPr>
          <w:trHeight w:val="405"/>
        </w:trPr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bookmarkStart w:id="15" w:name="OLE_LINK8"/>
            <w:bookmarkStart w:id="16" w:name="OLE_LINK9"/>
            <w:bookmarkStart w:id="17" w:name="OLE_LINK10"/>
            <w:bookmarkStart w:id="18" w:name="OLE_LINK29"/>
            <w:bookmarkStart w:id="19" w:name="OLE_LINK30"/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Naziv tržišta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pct12" w:color="auto" w:fill="FFFFFF"/>
            <w:vAlign w:val="center"/>
          </w:tcPr>
          <w:p w:rsidR="002856D5" w:rsidRPr="00367F0B" w:rsidRDefault="002856D5" w:rsidP="00875D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Vrednost 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IZVOZA</w:t>
            </w: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u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mil.</w:t>
            </w: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USD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pct12" w:color="auto" w:fill="FFFFFF"/>
            <w:vAlign w:val="center"/>
          </w:tcPr>
          <w:p w:rsidR="002856D5" w:rsidRDefault="002856D5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Index </w:t>
            </w:r>
          </w:p>
          <w:p w:rsidR="002856D5" w:rsidRDefault="002856D5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 </w:t>
            </w:r>
            <w:r w:rsidR="009A5E9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I-</w:t>
            </w: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X 2014</w:t>
            </w:r>
            <w:r w:rsidR="009A5E9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./</w:t>
            </w:r>
          </w:p>
          <w:p w:rsidR="002856D5" w:rsidRPr="00367F0B" w:rsidRDefault="002856D5" w:rsidP="009A5E9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   </w:t>
            </w:r>
            <w:r w:rsidR="009A5E9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       I-</w:t>
            </w: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X 2013.</w:t>
            </w:r>
          </w:p>
        </w:tc>
      </w:tr>
      <w:tr w:rsidR="002856D5" w:rsidRPr="00367F0B" w:rsidTr="009025FA">
        <w:trPr>
          <w:trHeight w:val="237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56D5" w:rsidRPr="00367F0B" w:rsidRDefault="002856D5" w:rsidP="002433A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FFFFFF"/>
            <w:vAlign w:val="bottom"/>
          </w:tcPr>
          <w:p w:rsidR="002856D5" w:rsidRPr="00367F0B" w:rsidRDefault="002856D5" w:rsidP="009A5E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bookmarkStart w:id="20" w:name="OLE_LINK11"/>
            <w:bookmarkStart w:id="21" w:name="OLE_LINK12"/>
            <w:bookmarkStart w:id="22" w:name="OLE_LINK13"/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I-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X 2013</w:t>
            </w:r>
            <w:bookmarkEnd w:id="20"/>
            <w:bookmarkEnd w:id="21"/>
            <w:bookmarkEnd w:id="22"/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FFFFFF"/>
            <w:vAlign w:val="bottom"/>
          </w:tcPr>
          <w:p w:rsidR="002856D5" w:rsidRPr="00367F0B" w:rsidRDefault="002856D5" w:rsidP="009A5E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bookmarkStart w:id="23" w:name="OLE_LINK14"/>
            <w:bookmarkStart w:id="24" w:name="OLE_LINK15"/>
            <w:bookmarkStart w:id="25" w:name="OLE_LINK16"/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I-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X 2014</w:t>
            </w: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.</w:t>
            </w:r>
            <w:bookmarkEnd w:id="23"/>
            <w:bookmarkEnd w:id="24"/>
            <w:bookmarkEnd w:id="25"/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856D5" w:rsidRPr="00367F0B" w:rsidRDefault="002856D5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856D5" w:rsidRPr="00367F0B" w:rsidTr="00521945">
        <w:trPr>
          <w:trHeight w:val="271"/>
        </w:trPr>
        <w:tc>
          <w:tcPr>
            <w:tcW w:w="358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Zemlje EU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4E41EC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652.881.335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F72913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654.544.278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2969DE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100,2</w:t>
            </w:r>
          </w:p>
        </w:tc>
      </w:tr>
      <w:tr w:rsidR="002856D5" w:rsidRPr="00367F0B" w:rsidTr="00521945">
        <w:trPr>
          <w:trHeight w:val="304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Zemlje CEFTA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4E41EC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430.519.776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F72913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466.216.158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2969DE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108,3</w:t>
            </w:r>
          </w:p>
        </w:tc>
      </w:tr>
      <w:tr w:rsidR="002856D5" w:rsidRPr="00367F0B" w:rsidTr="00521945">
        <w:trPr>
          <w:trHeight w:val="301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Ruska Federacija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4E41EC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40.901.564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F72913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83.233.875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2969DE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203,5</w:t>
            </w:r>
          </w:p>
        </w:tc>
      </w:tr>
      <w:tr w:rsidR="002856D5" w:rsidRPr="00367F0B" w:rsidTr="00521945">
        <w:trPr>
          <w:trHeight w:val="297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Izvoz na ostala tržišta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969DE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46.614.720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8A72F4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41.753.399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2969DE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89,6</w:t>
            </w:r>
          </w:p>
        </w:tc>
      </w:tr>
      <w:tr w:rsidR="002856D5" w:rsidRPr="00367F0B" w:rsidTr="00521945">
        <w:trPr>
          <w:trHeight w:val="28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Ukupan izvoz agrara APV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084BEF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1.170.917.395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F2236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1.245.747.710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vAlign w:val="center"/>
          </w:tcPr>
          <w:p w:rsidR="002856D5" w:rsidRPr="00367F0B" w:rsidRDefault="002969DE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CS" w:eastAsia="sr-Latn-CS"/>
              </w:rPr>
              <w:t>106,4</w:t>
            </w:r>
          </w:p>
        </w:tc>
      </w:tr>
      <w:tr w:rsidR="002856D5" w:rsidRPr="00367F0B" w:rsidTr="009A5E96">
        <w:trPr>
          <w:trHeight w:val="453"/>
        </w:trPr>
        <w:tc>
          <w:tcPr>
            <w:tcW w:w="9284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856D5" w:rsidRPr="003F56D3" w:rsidTr="009A5E96">
        <w:trPr>
          <w:trHeight w:val="504"/>
        </w:trPr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F56D3" w:rsidRDefault="002856D5" w:rsidP="002433A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F56D3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Naziv tržišta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auto" w:fill="FFFFFF"/>
            <w:vAlign w:val="center"/>
          </w:tcPr>
          <w:p w:rsidR="002856D5" w:rsidRPr="003F56D3" w:rsidRDefault="002856D5" w:rsidP="00875D4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F56D3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Vrednost UVOZA u mil. USD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pct12" w:color="auto" w:fill="FFFFFF"/>
            <w:vAlign w:val="center"/>
          </w:tcPr>
          <w:p w:rsidR="002856D5" w:rsidRDefault="002856D5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Index</w:t>
            </w:r>
          </w:p>
          <w:p w:rsidR="002856D5" w:rsidRDefault="007413AC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I-</w:t>
            </w:r>
            <w:r w:rsidR="002856D5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X 2014.</w:t>
            </w:r>
            <w:r w:rsidR="002856D5" w:rsidRPr="003F56D3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/</w:t>
            </w:r>
          </w:p>
          <w:p w:rsidR="002856D5" w:rsidRPr="003F56D3" w:rsidRDefault="002856D5" w:rsidP="002433A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 xml:space="preserve">           I</w:t>
            </w:r>
            <w:r w:rsidR="007413AC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-</w:t>
            </w:r>
            <w:bookmarkStart w:id="26" w:name="_GoBack"/>
            <w:bookmarkEnd w:id="26"/>
            <w:r w:rsidRPr="003F56D3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X 2013.</w:t>
            </w:r>
          </w:p>
        </w:tc>
      </w:tr>
      <w:tr w:rsidR="002856D5" w:rsidRPr="003F56D3" w:rsidTr="00521945">
        <w:trPr>
          <w:trHeight w:val="324"/>
        </w:trPr>
        <w:tc>
          <w:tcPr>
            <w:tcW w:w="3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F56D3" w:rsidRDefault="002856D5" w:rsidP="002433AA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2856D5" w:rsidRPr="003F56D3" w:rsidRDefault="002856D5" w:rsidP="009A5E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A5607C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I-X 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2856D5" w:rsidRPr="003F56D3" w:rsidRDefault="002856D5" w:rsidP="009A5E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A5607C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  <w:t>I-X 2014.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856D5" w:rsidRDefault="002856D5" w:rsidP="002433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856D5" w:rsidRPr="00367F0B" w:rsidTr="00521945">
        <w:trPr>
          <w:trHeight w:val="300"/>
        </w:trPr>
        <w:tc>
          <w:tcPr>
            <w:tcW w:w="358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Zemlja EU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032F88" w:rsidP="002433AA">
            <w:pPr>
              <w:spacing w:after="100" w:afterAutospacing="1" w:line="240" w:lineRule="auto"/>
              <w:jc w:val="right"/>
              <w:rPr>
                <w:rFonts w:ascii="Arial Narrow" w:eastAsiaTheme="minorHAnsi" w:hAnsi="Arial Narrow" w:cstheme="minorBidi"/>
                <w:bCs/>
                <w:color w:val="010000"/>
                <w:sz w:val="24"/>
                <w:szCs w:val="24"/>
                <w:lang w:eastAsia="en-US"/>
              </w:rPr>
            </w:pPr>
            <w:r w:rsidRPr="00032F88">
              <w:rPr>
                <w:rFonts w:ascii="Arial Narrow" w:eastAsiaTheme="minorHAnsi" w:hAnsi="Arial Narrow" w:cstheme="minorBidi"/>
                <w:bCs/>
                <w:color w:val="010000"/>
                <w:sz w:val="24"/>
                <w:szCs w:val="24"/>
                <w:lang w:eastAsia="en-US"/>
              </w:rPr>
              <w:t>247.080.127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CA367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CA3675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278.278.261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933B6F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112,6</w:t>
            </w:r>
          </w:p>
        </w:tc>
      </w:tr>
      <w:tr w:rsidR="002856D5" w:rsidRPr="00367F0B" w:rsidTr="00521945">
        <w:trPr>
          <w:trHeight w:val="297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bookmarkStart w:id="27" w:name="_Hlk405288282"/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Zemlja CEFTA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56D5" w:rsidRPr="00367F0B" w:rsidRDefault="00032F88" w:rsidP="002433AA">
            <w:pPr>
              <w:spacing w:after="100" w:afterAutospacing="1" w:line="240" w:lineRule="auto"/>
              <w:jc w:val="right"/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</w:pPr>
            <w:r w:rsidRPr="00032F88"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  <w:t>30.332.222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CA367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CA3675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29.826.117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933B6F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98,3</w:t>
            </w:r>
          </w:p>
        </w:tc>
      </w:tr>
      <w:tr w:rsidR="002856D5" w:rsidRPr="00367F0B" w:rsidTr="00521945">
        <w:trPr>
          <w:trHeight w:val="294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Ruske Federacije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032F88" w:rsidP="002433AA">
            <w:pPr>
              <w:spacing w:after="100" w:afterAutospacing="1" w:line="240" w:lineRule="auto"/>
              <w:jc w:val="right"/>
              <w:rPr>
                <w:rFonts w:ascii="Arial Narrow" w:eastAsiaTheme="minorHAnsi" w:hAnsi="Arial Narrow" w:cstheme="minorBidi"/>
                <w:bCs/>
                <w:color w:val="010000"/>
                <w:sz w:val="24"/>
                <w:szCs w:val="24"/>
                <w:lang w:eastAsia="en-US"/>
              </w:rPr>
            </w:pPr>
            <w:r w:rsidRPr="00032F88">
              <w:rPr>
                <w:rFonts w:ascii="Arial Narrow" w:eastAsiaTheme="minorHAnsi" w:hAnsi="Arial Narrow" w:cstheme="minorBidi"/>
                <w:bCs/>
                <w:color w:val="010000"/>
                <w:sz w:val="24"/>
                <w:szCs w:val="24"/>
                <w:lang w:eastAsia="en-US"/>
              </w:rPr>
              <w:t>9.696.491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CA3675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 w:rsidRPr="00CA3675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14.951.868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933B6F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154,2</w:t>
            </w:r>
          </w:p>
        </w:tc>
      </w:tr>
      <w:bookmarkEnd w:id="27"/>
      <w:tr w:rsidR="002856D5" w:rsidRPr="00367F0B" w:rsidTr="00521945">
        <w:trPr>
          <w:trHeight w:val="303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i/>
                <w:iCs/>
                <w:color w:val="000000"/>
                <w:sz w:val="24"/>
                <w:szCs w:val="24"/>
                <w:lang w:val="sr-Latn-CS" w:eastAsia="sr-Latn-CS"/>
              </w:rPr>
              <w:t>Uvoz sa ostalih tržišta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56D5" w:rsidRPr="00367F0B" w:rsidRDefault="00933B6F" w:rsidP="002433AA">
            <w:pPr>
              <w:spacing w:after="100" w:afterAutospacing="1" w:line="240" w:lineRule="auto"/>
              <w:jc w:val="right"/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24"/>
                <w:szCs w:val="24"/>
                <w:lang w:eastAsia="en-US"/>
              </w:rPr>
              <w:t>109.069.246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56D5" w:rsidRPr="00367F0B" w:rsidRDefault="00933B6F" w:rsidP="002433AA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111.660.358</w:t>
            </w:r>
            <w:r w:rsidR="00CA3675"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56D5" w:rsidRPr="00367F0B" w:rsidRDefault="00933B6F" w:rsidP="002433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CS" w:eastAsia="sr-Latn-CS"/>
              </w:rPr>
              <w:t>102,4</w:t>
            </w:r>
          </w:p>
        </w:tc>
      </w:tr>
      <w:tr w:rsidR="002856D5" w:rsidRPr="00367F0B" w:rsidTr="00521945">
        <w:trPr>
          <w:trHeight w:val="28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367F0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Ukupan uvoz agrara APV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856D5" w:rsidP="002433AA">
            <w:pPr>
              <w:spacing w:after="100" w:afterAutospacing="1" w:line="240" w:lineRule="auto"/>
              <w:jc w:val="right"/>
              <w:rPr>
                <w:rFonts w:ascii="Arial Narrow" w:eastAsiaTheme="minorHAnsi" w:hAnsi="Arial Narrow" w:cstheme="minorBidi"/>
                <w:b/>
                <w:color w:val="000000"/>
                <w:sz w:val="24"/>
                <w:szCs w:val="24"/>
                <w:lang w:eastAsia="en-US"/>
              </w:rPr>
            </w:pPr>
            <w:r w:rsidRPr="00A5607C">
              <w:rPr>
                <w:rFonts w:ascii="Arial Narrow" w:eastAsiaTheme="minorHAnsi" w:hAnsi="Arial Narrow" w:cstheme="minorBidi"/>
                <w:b/>
                <w:color w:val="000000"/>
                <w:sz w:val="24"/>
                <w:szCs w:val="24"/>
                <w:lang w:eastAsia="en-US"/>
              </w:rPr>
              <w:t>396.178.086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2856D5" w:rsidRPr="00367F0B" w:rsidRDefault="002433AA" w:rsidP="002433AA">
            <w:pPr>
              <w:spacing w:after="100" w:afterAutospacing="1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2433A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r-Latn-CS" w:eastAsia="sr-Latn-CS"/>
              </w:rPr>
              <w:t>434.716.604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FFFFFF"/>
            <w:noWrap/>
            <w:vAlign w:val="center"/>
          </w:tcPr>
          <w:p w:rsidR="002856D5" w:rsidRPr="00367F0B" w:rsidRDefault="00933B6F" w:rsidP="002433AA">
            <w:pPr>
              <w:spacing w:after="100" w:afterAutospacing="1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CS" w:eastAsia="sr-Latn-CS"/>
              </w:rPr>
              <w:t>109,7</w:t>
            </w:r>
          </w:p>
        </w:tc>
      </w:tr>
    </w:tbl>
    <w:bookmarkEnd w:id="15"/>
    <w:bookmarkEnd w:id="16"/>
    <w:bookmarkEnd w:id="17"/>
    <w:bookmarkEnd w:id="18"/>
    <w:bookmarkEnd w:id="19"/>
    <w:p w:rsidR="002856D5" w:rsidRDefault="00032F88" w:rsidP="004A4B41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  <w:r>
        <w:rPr>
          <w:rFonts w:ascii="Arial Narrow" w:eastAsiaTheme="minorHAnsi" w:hAnsi="Arial Narrow"/>
          <w:sz w:val="26"/>
          <w:szCs w:val="26"/>
          <w:lang w:eastAsia="en-US"/>
        </w:rPr>
        <w:t xml:space="preserve"> </w:t>
      </w:r>
    </w:p>
    <w:p w:rsidR="002856D5" w:rsidRDefault="002856D5" w:rsidP="004A4B41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2856D5" w:rsidRDefault="002856D5" w:rsidP="004A4B41">
      <w:pPr>
        <w:spacing w:after="0" w:line="240" w:lineRule="auto"/>
        <w:ind w:firstLine="708"/>
        <w:jc w:val="both"/>
        <w:rPr>
          <w:rFonts w:ascii="Arial Narrow" w:eastAsiaTheme="minorHAnsi" w:hAnsi="Arial Narrow"/>
          <w:sz w:val="26"/>
          <w:szCs w:val="26"/>
          <w:lang w:eastAsia="en-US"/>
        </w:rPr>
      </w:pPr>
    </w:p>
    <w:p w:rsidR="00611A76" w:rsidRDefault="00611A76" w:rsidP="00367F0B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611A76" w:rsidRPr="00367F0B" w:rsidRDefault="00611A76" w:rsidP="00367F0B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367F0B" w:rsidRDefault="00367F0B" w:rsidP="00367F0B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611A76" w:rsidRPr="00367F0B" w:rsidRDefault="00611A76" w:rsidP="00367F0B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DC2D9D" w:rsidRPr="00DC2D9D" w:rsidRDefault="00DC2D9D" w:rsidP="00DC2D9D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DC2D9D" w:rsidRPr="00DC2D9D" w:rsidRDefault="00DC2D9D" w:rsidP="00DC2D9D">
      <w:pPr>
        <w:spacing w:after="0" w:line="240" w:lineRule="auto"/>
        <w:jc w:val="center"/>
        <w:rPr>
          <w:rFonts w:ascii="Arial Narrow" w:eastAsiaTheme="minorHAnsi" w:hAnsi="Arial Narrow"/>
          <w:b/>
          <w:sz w:val="26"/>
          <w:szCs w:val="26"/>
          <w:lang w:eastAsia="en-US"/>
        </w:rPr>
      </w:pPr>
    </w:p>
    <w:p w:rsidR="00DC2D9D" w:rsidRDefault="00DC2D9D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p w:rsidR="002E2182" w:rsidRPr="009F51A0" w:rsidRDefault="002E2182" w:rsidP="009F51A0">
      <w:pPr>
        <w:jc w:val="both"/>
        <w:rPr>
          <w:rFonts w:ascii="Arial Narrow" w:hAnsi="Arial Narrow"/>
          <w:sz w:val="26"/>
          <w:szCs w:val="26"/>
        </w:rPr>
      </w:pPr>
    </w:p>
    <w:sectPr w:rsidR="002E2182" w:rsidRPr="009F51A0" w:rsidSect="00C50281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42" w:rsidRDefault="00766442" w:rsidP="000160BE">
      <w:pPr>
        <w:spacing w:after="0" w:line="240" w:lineRule="auto"/>
      </w:pPr>
      <w:r>
        <w:separator/>
      </w:r>
    </w:p>
  </w:endnote>
  <w:endnote w:type="continuationSeparator" w:id="0">
    <w:p w:rsidR="00766442" w:rsidRDefault="00766442" w:rsidP="0001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087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ACA" w:rsidRDefault="001C5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3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5ACA" w:rsidRDefault="001C5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42" w:rsidRDefault="00766442" w:rsidP="000160BE">
      <w:pPr>
        <w:spacing w:after="0" w:line="240" w:lineRule="auto"/>
      </w:pPr>
      <w:r>
        <w:separator/>
      </w:r>
    </w:p>
  </w:footnote>
  <w:footnote w:type="continuationSeparator" w:id="0">
    <w:p w:rsidR="00766442" w:rsidRDefault="00766442" w:rsidP="00016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A0"/>
    <w:rsid w:val="00000E1C"/>
    <w:rsid w:val="00002426"/>
    <w:rsid w:val="000048AF"/>
    <w:rsid w:val="0000652B"/>
    <w:rsid w:val="000160BE"/>
    <w:rsid w:val="00020950"/>
    <w:rsid w:val="00023CFE"/>
    <w:rsid w:val="000242A8"/>
    <w:rsid w:val="00032F88"/>
    <w:rsid w:val="0003326E"/>
    <w:rsid w:val="00077689"/>
    <w:rsid w:val="00084BEF"/>
    <w:rsid w:val="000A42EA"/>
    <w:rsid w:val="000A78CA"/>
    <w:rsid w:val="000B5FE7"/>
    <w:rsid w:val="000F0E87"/>
    <w:rsid w:val="00102EB0"/>
    <w:rsid w:val="0010462D"/>
    <w:rsid w:val="001057BA"/>
    <w:rsid w:val="001059F0"/>
    <w:rsid w:val="001215F8"/>
    <w:rsid w:val="00165EFD"/>
    <w:rsid w:val="00166978"/>
    <w:rsid w:val="00174820"/>
    <w:rsid w:val="001952F8"/>
    <w:rsid w:val="001C28F6"/>
    <w:rsid w:val="001C5ACA"/>
    <w:rsid w:val="001E363B"/>
    <w:rsid w:val="00221EB2"/>
    <w:rsid w:val="002433AA"/>
    <w:rsid w:val="00247714"/>
    <w:rsid w:val="0025309B"/>
    <w:rsid w:val="002577AD"/>
    <w:rsid w:val="00261EBB"/>
    <w:rsid w:val="0026364E"/>
    <w:rsid w:val="002856D5"/>
    <w:rsid w:val="002969DE"/>
    <w:rsid w:val="00296A99"/>
    <w:rsid w:val="002A7DEE"/>
    <w:rsid w:val="002B1BCF"/>
    <w:rsid w:val="002E2182"/>
    <w:rsid w:val="002E64BA"/>
    <w:rsid w:val="00314CA9"/>
    <w:rsid w:val="00367F0B"/>
    <w:rsid w:val="003925C8"/>
    <w:rsid w:val="0039738D"/>
    <w:rsid w:val="00397755"/>
    <w:rsid w:val="003A1D1B"/>
    <w:rsid w:val="003E180E"/>
    <w:rsid w:val="003F56D3"/>
    <w:rsid w:val="004003A6"/>
    <w:rsid w:val="0041422D"/>
    <w:rsid w:val="00432039"/>
    <w:rsid w:val="00457B6C"/>
    <w:rsid w:val="00472A5A"/>
    <w:rsid w:val="00494261"/>
    <w:rsid w:val="004A4B41"/>
    <w:rsid w:val="004B0710"/>
    <w:rsid w:val="004B6CCE"/>
    <w:rsid w:val="004C42C6"/>
    <w:rsid w:val="004E41EC"/>
    <w:rsid w:val="004E4DCB"/>
    <w:rsid w:val="004E5DE9"/>
    <w:rsid w:val="004F2424"/>
    <w:rsid w:val="00507DE5"/>
    <w:rsid w:val="00521945"/>
    <w:rsid w:val="005352FE"/>
    <w:rsid w:val="00592DB2"/>
    <w:rsid w:val="005D3560"/>
    <w:rsid w:val="005D56A1"/>
    <w:rsid w:val="00607757"/>
    <w:rsid w:val="00611A76"/>
    <w:rsid w:val="00616D28"/>
    <w:rsid w:val="006173EE"/>
    <w:rsid w:val="00630F5D"/>
    <w:rsid w:val="006642FB"/>
    <w:rsid w:val="006A3CD3"/>
    <w:rsid w:val="006D36B9"/>
    <w:rsid w:val="006E4ACF"/>
    <w:rsid w:val="00704C3F"/>
    <w:rsid w:val="00717398"/>
    <w:rsid w:val="007221D7"/>
    <w:rsid w:val="0072586A"/>
    <w:rsid w:val="007413AC"/>
    <w:rsid w:val="00766442"/>
    <w:rsid w:val="00781D74"/>
    <w:rsid w:val="00782E2C"/>
    <w:rsid w:val="00791955"/>
    <w:rsid w:val="007B0391"/>
    <w:rsid w:val="007B4CC3"/>
    <w:rsid w:val="007B679F"/>
    <w:rsid w:val="007E3E3A"/>
    <w:rsid w:val="00813596"/>
    <w:rsid w:val="00813FB7"/>
    <w:rsid w:val="0084014B"/>
    <w:rsid w:val="0084092B"/>
    <w:rsid w:val="00875D49"/>
    <w:rsid w:val="0088171B"/>
    <w:rsid w:val="00890C54"/>
    <w:rsid w:val="008A72F4"/>
    <w:rsid w:val="009025FA"/>
    <w:rsid w:val="00913750"/>
    <w:rsid w:val="009229CB"/>
    <w:rsid w:val="009266BA"/>
    <w:rsid w:val="00933B6F"/>
    <w:rsid w:val="00964A14"/>
    <w:rsid w:val="009A5E96"/>
    <w:rsid w:val="009B37D1"/>
    <w:rsid w:val="009C03D8"/>
    <w:rsid w:val="009D6003"/>
    <w:rsid w:val="009E455C"/>
    <w:rsid w:val="009F51A0"/>
    <w:rsid w:val="00A12596"/>
    <w:rsid w:val="00A12D52"/>
    <w:rsid w:val="00A3654A"/>
    <w:rsid w:val="00A366D2"/>
    <w:rsid w:val="00A505DA"/>
    <w:rsid w:val="00A52888"/>
    <w:rsid w:val="00A5607C"/>
    <w:rsid w:val="00A610DB"/>
    <w:rsid w:val="00A75274"/>
    <w:rsid w:val="00A87B47"/>
    <w:rsid w:val="00A9071C"/>
    <w:rsid w:val="00AA6741"/>
    <w:rsid w:val="00AB133D"/>
    <w:rsid w:val="00AB4595"/>
    <w:rsid w:val="00AF0FBB"/>
    <w:rsid w:val="00B420D4"/>
    <w:rsid w:val="00B47570"/>
    <w:rsid w:val="00B53099"/>
    <w:rsid w:val="00B578F3"/>
    <w:rsid w:val="00B64F00"/>
    <w:rsid w:val="00B85F9B"/>
    <w:rsid w:val="00BC3FC8"/>
    <w:rsid w:val="00BD5C10"/>
    <w:rsid w:val="00BE182F"/>
    <w:rsid w:val="00C07CD1"/>
    <w:rsid w:val="00C34813"/>
    <w:rsid w:val="00C4708C"/>
    <w:rsid w:val="00C50281"/>
    <w:rsid w:val="00C54C27"/>
    <w:rsid w:val="00C55B9D"/>
    <w:rsid w:val="00C7540A"/>
    <w:rsid w:val="00CA0973"/>
    <w:rsid w:val="00CA3675"/>
    <w:rsid w:val="00CD5618"/>
    <w:rsid w:val="00CE11E2"/>
    <w:rsid w:val="00CE29FF"/>
    <w:rsid w:val="00CF556F"/>
    <w:rsid w:val="00D21F5F"/>
    <w:rsid w:val="00D27644"/>
    <w:rsid w:val="00D42893"/>
    <w:rsid w:val="00D6071B"/>
    <w:rsid w:val="00D873ED"/>
    <w:rsid w:val="00D875C4"/>
    <w:rsid w:val="00D913C9"/>
    <w:rsid w:val="00D929D0"/>
    <w:rsid w:val="00DA532A"/>
    <w:rsid w:val="00DB022A"/>
    <w:rsid w:val="00DB1B5D"/>
    <w:rsid w:val="00DC2D9D"/>
    <w:rsid w:val="00DC7384"/>
    <w:rsid w:val="00DD2E6D"/>
    <w:rsid w:val="00DD486A"/>
    <w:rsid w:val="00DD573C"/>
    <w:rsid w:val="00E336C1"/>
    <w:rsid w:val="00E43837"/>
    <w:rsid w:val="00E44DF9"/>
    <w:rsid w:val="00E4708D"/>
    <w:rsid w:val="00E50CB4"/>
    <w:rsid w:val="00E80ABB"/>
    <w:rsid w:val="00E83840"/>
    <w:rsid w:val="00E9244C"/>
    <w:rsid w:val="00EC4E84"/>
    <w:rsid w:val="00F13C23"/>
    <w:rsid w:val="00F22368"/>
    <w:rsid w:val="00F30F97"/>
    <w:rsid w:val="00F63827"/>
    <w:rsid w:val="00F678A0"/>
    <w:rsid w:val="00F72913"/>
    <w:rsid w:val="00FE4B62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6"/>
        <w:szCs w:val="26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55"/>
    <w:rPr>
      <w:rFonts w:ascii="Times New Roman" w:hAnsi="Times New Roman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2F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C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BA"/>
    <w:rPr>
      <w:rFonts w:ascii="Tahoma" w:hAnsi="Tahoma" w:cs="Tahoma"/>
      <w:sz w:val="16"/>
      <w:szCs w:val="16"/>
      <w:lang w:eastAsia="sr-Latn-RS"/>
    </w:rPr>
  </w:style>
  <w:style w:type="paragraph" w:styleId="NoSpacing">
    <w:name w:val="No Spacing"/>
    <w:uiPriority w:val="1"/>
    <w:qFormat/>
    <w:rsid w:val="00611A76"/>
    <w:pPr>
      <w:spacing w:after="0" w:line="240" w:lineRule="auto"/>
    </w:pPr>
    <w:rPr>
      <w:rFonts w:ascii="Times New Roman" w:hAnsi="Times New Roman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01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BE"/>
    <w:rPr>
      <w:rFonts w:ascii="Times New Roman" w:hAnsi="Times New Roman"/>
      <w:sz w:val="20"/>
      <w:szCs w:val="20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01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BE"/>
    <w:rPr>
      <w:rFonts w:ascii="Times New Roman" w:hAnsi="Times New Roman"/>
      <w:sz w:val="20"/>
      <w:szCs w:val="20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6"/>
        <w:szCs w:val="26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55"/>
    <w:rPr>
      <w:rFonts w:ascii="Times New Roman" w:hAnsi="Times New Roman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2F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C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BA"/>
    <w:rPr>
      <w:rFonts w:ascii="Tahoma" w:hAnsi="Tahoma" w:cs="Tahoma"/>
      <w:sz w:val="16"/>
      <w:szCs w:val="16"/>
      <w:lang w:eastAsia="sr-Latn-RS"/>
    </w:rPr>
  </w:style>
  <w:style w:type="paragraph" w:styleId="NoSpacing">
    <w:name w:val="No Spacing"/>
    <w:uiPriority w:val="1"/>
    <w:qFormat/>
    <w:rsid w:val="00611A76"/>
    <w:pPr>
      <w:spacing w:after="0" w:line="240" w:lineRule="auto"/>
    </w:pPr>
    <w:rPr>
      <w:rFonts w:ascii="Times New Roman" w:hAnsi="Times New Roman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01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BE"/>
    <w:rPr>
      <w:rFonts w:ascii="Times New Roman" w:hAnsi="Times New Roman"/>
      <w:sz w:val="20"/>
      <w:szCs w:val="20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01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BE"/>
    <w:rPr>
      <w:rFonts w:ascii="Times New Roman" w:hAnsi="Times New Roman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040F-5D7B-4129-A5E4-29E3392D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Vidosava Zutic</dc:creator>
  <cp:lastModifiedBy>Vidosava Zutic</cp:lastModifiedBy>
  <cp:revision>116</cp:revision>
  <cp:lastPrinted>2014-12-03T07:35:00Z</cp:lastPrinted>
  <dcterms:created xsi:type="dcterms:W3CDTF">2014-12-01T13:18:00Z</dcterms:created>
  <dcterms:modified xsi:type="dcterms:W3CDTF">2014-12-03T07:36:00Z</dcterms:modified>
</cp:coreProperties>
</file>